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endnotes.xml" ContentType="application/vnd.openxmlformats-officedocument.wordprocessingml.end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Times New Roman" w:hAnsi="Times New Roman" w:eastAsia="Times New Roman"/>
          <w:sz w:val="28"/>
          <w:caps/>
          <w:color w:val="auto"/>
        </w:rPr>
      </w:pPr>
      <w:r>
        <w:rPr>
          <w:rFonts w:ascii="Times New Roman" w:hAnsi="Times New Roman" w:eastAsia="Times New Roman"/>
          <w:caps/>
          <w:color w:val="auto"/>
        </w:rPr>
      </w:r>
      <w:bookmarkStart w:id="0" w:name="e_book_cover"/>
      <w:r>
        <w:rPr>
          <w:rFonts w:ascii="Times New Roman" w:hAnsi="Times New Roman" w:eastAsia="Times New Roman"/>
          <w:caps/>
          <w:color w:val="auto"/>
        </w:rPr>
      </w:r>
      <w:bookmarkEnd w:id="0"/>
      <w:r>
        <w:rPr>
          <w:rFonts w:ascii="Times New Roman" w:hAnsi="Times New Roman" w:eastAsia="Times New Roman"/>
          <w:caps/>
          <w:color w:val="auto"/>
        </w:rPr>
        <w:drawing>
          <wp:inline>
            <wp:extent cx="4017010" cy="642937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4017010" cy="6429375"/>
                    </a:xfrm>
                    <a:prstGeom prst="rect">
                      <a:avLst/>
                    </a:prstGeom>
                    <a:noFill/>
                  </pic:spPr>
                </pic:pic>
              </a:graphicData>
            </a:graphic>
            <!-- awp:zoomToFitPage=1 -->
          </wp:inline>
        </w:drawing>
      </w:r>
      <w:bookmarkStart w:id="1" w:name="start"/>
      <w:r>
        <w:rPr>
          <w:rFonts w:ascii="Times New Roman" w:hAnsi="Times New Roman" w:eastAsia="Times New Roman"/>
          <w:caps/>
          <w:color w:val="auto"/>
        </w:rPr>
      </w:r>
      <w:bookmarkEnd w:id="1"/>
      <w:r>
        <w:rPr>
          <w:rFonts w:ascii="Times New Roman" w:hAnsi="Times New Roman" w:eastAsia="Times New Roman"/>
          <w:sz w:val="20"/>
          <w:caps/>
          <w:color w:val="auto"/>
        </w:rPr>
        <w:t xml:space="preserve">Historical Essays in </w:t>
        <w:br w:type="textWrapping"/>
        <w:t>20</w:t>
      </w:r>
      <w:r>
        <w:rPr>
          <w:rFonts w:ascii="Times New Roman" w:hAnsi="Times New Roman" w:eastAsia="Times New Roman"/>
          <w:sz w:val="20"/>
          <w:smallCaps/>
          <w:color w:val="auto"/>
        </w:rPr>
        <w:t>th</w:t>
      </w:r>
      <w:r>
        <w:rPr>
          <w:rFonts w:ascii="Times New Roman" w:hAnsi="Times New Roman" w:eastAsia="Times New Roman"/>
          <w:sz w:val="20"/>
          <w:caps/>
          <w:color w:val="auto"/>
        </w:rPr>
        <w:t xml:space="preserve"> Century American Philosophy</w:t>
      </w:r>
    </w:p>
    <w:p>
      <w:pPr>
        <w:sectPr>
          <w:pgSz w:w="12240" w:h="15840"/>
          <w:pgMar w:top="1440" w:right="2880" w:bottom="1440" w:left="2880" w:header="0" w:footer="0"/>
          <w:cols w:space="720"/>
          <w:pgNumType w:fmt="lowerRoman" w:start="1"/>
          <w:footnotePr>
            <w:numFmt w:val="decimal"/>
            <w:numRestart w:val="continuous"/>
            <w:numStart w:val="1"/>
            <w:pos w:val="pageBottom"/>
          </w:footnotePr>
          <w:endnotePr>
            <w:numFmt w:val="lowerRoman"/>
            <w:numRestart w:val="continuous"/>
            <w:numStart w:val="1"/>
            <w:pos w:val="docEnd"/>
          </w:endnotePr>
        </w:sectPr>
        <w:rPr>
          <w:rFonts w:ascii="Times New Roman" w:hAnsi="Times New Roman" w:eastAsia="Times New Roman"/>
          <w:color w:val="auto"/>
        </w:rPr>
      </w:pPr>
    </w:p>
    <w:p>
      <w:pPr>
        <w:jc w:val="center"/>
        <w:rPr>
          <w:rFonts w:ascii="Times New Roman" w:hAnsi="Times New Roman" w:eastAsia="Times New Roman"/>
          <w:sz w:val="20"/>
          <w:color w:val="auto"/>
        </w:rPr>
      </w:pPr>
      <w:r>
        <w:rPr>
          <w:rFonts w:ascii="Times New Roman" w:hAnsi="Times New Roman" w:eastAsia="Times New Roman"/>
          <w:sz w:val="20"/>
          <w:color w:val="auto"/>
        </w:rPr>
        <w:t>THE AMERICAN PHILOSOPHICAL</w:t>
      </w:r>
    </w:p>
    <w:p>
      <w:pPr>
        <w:jc w:val="center"/>
        <w:rPr>
          <w:rFonts w:ascii="Times New Roman" w:hAnsi="Times New Roman" w:eastAsia="Times New Roman"/>
          <w:sz w:val="20"/>
          <w:color w:val="auto"/>
        </w:rPr>
      </w:pPr>
      <w:r>
        <w:rPr>
          <w:rFonts w:ascii="Times New Roman" w:hAnsi="Times New Roman" w:eastAsia="Times New Roman"/>
          <w:sz w:val="20"/>
          <w:color w:val="auto"/>
        </w:rPr>
        <w:t>ASSOCIATION</w:t>
      </w:r>
    </w:p>
    <w:p>
      <w:pPr>
        <w:spacing w:after="160" w:afterAutospacing="0"/>
        <w:jc w:val="center"/>
        <w:rPr>
          <w:rFonts w:ascii="Times New Roman" w:hAnsi="Times New Roman" w:eastAsia="Times New Roman"/>
          <w:sz w:val="20"/>
          <w:color w:val="auto"/>
        </w:rPr>
      </w:pPr>
      <w:r>
        <w:rPr>
          <w:rFonts w:ascii="Times New Roman" w:hAnsi="Times New Roman" w:eastAsia="Times New Roman"/>
          <w:sz w:val="20"/>
          <w:color w:val="auto"/>
        </w:rPr>
        <w:t>CENTENNIAL SERIES</w:t>
      </w:r>
    </w:p>
    <w:p>
      <w:pPr>
        <w:spacing w:after="160" w:afterAutospacing="0"/>
        <w:jc w:val="center"/>
        <w:rPr>
          <w:rFonts w:ascii="Times New Roman" w:hAnsi="Times New Roman" w:eastAsia="Times New Roman"/>
          <w:sz w:val="20"/>
          <w:color w:val="auto"/>
        </w:rPr>
      </w:pPr>
      <w:r>
        <w:rPr>
          <w:rFonts w:ascii="Times New Roman" w:hAnsi="Times New Roman" w:eastAsia="Times New Roman"/>
          <w:sz w:val="20"/>
          <w:color w:val="auto"/>
        </w:rPr>
        <w:t>Presidential Addresses</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1: 1901–1910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2: 1911–1920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3: 1921–1930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4: 1931–1940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5: 1941–1950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6: 1951–1960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7: 1961–1970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8: 1971–1980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9: 1981–1990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10: 1991–2000</w:t>
      </w:r>
    </w:p>
    <w:p>
      <w:pPr>
        <w:spacing w:after="40" w:afterAutospacing="0"/>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4" Type="http://schemas.openxmlformats.org/officeDocument/2006/relationships/header" Target="header1.xml" r:id="rId4"/>
        </w:sectPr>
        <w:rPr>
          <w:sz w:val="40"/>
        </w:rPr>
      </w:pPr>
      <w:r>
        <w:rPr>
          <w:rFonts w:ascii="Times New Roman" w:hAnsi="Times New Roman" w:eastAsia="Times New Roman"/>
          <w:sz w:val="20"/>
          <w:color w:val="auto"/>
        </w:rPr>
        <w:t>Volume 11:  Historical Essays in 20th Century American Philosophy</w:t>
      </w:r>
    </w:p>
    <w:p>
      <w:pPr>
        <w:spacing w:after="200" w:afterAutospacing="0" w:line="240" w:lineRule="auto"/>
        <w:jc w:val="center"/>
        <w:pStyle w:val="BodyText"/>
        <w:rPr>
          <w:caps/>
        </w:rPr>
      </w:pPr>
      <w:r>
        <w:rPr>
          <w:caps/>
        </w:rPr>
        <w:t>Historical Essays in</w:t>
      </w:r>
      <w:r>
        <w:rPr>
          <w:caps/>
        </w:rPr>
        <w:br w:type="textWrapping"/>
      </w:r>
      <w:r>
        <w:rPr>
          <w:caps/>
        </w:rPr>
        <w:t>20</w:t>
      </w:r>
      <w:r>
        <w:rPr>
          <w:smallCaps/>
        </w:rPr>
        <w:t>th</w:t>
      </w:r>
      <w:r>
        <w:rPr>
          <w:caps/>
        </w:rPr>
        <w:t xml:space="preserve"> Century</w:t>
      </w:r>
      <w:r>
        <w:rPr>
          <w:caps/>
        </w:rPr>
        <w:br w:type="textWrapping"/>
      </w:r>
      <w:r>
        <w:rPr>
          <w:caps/>
        </w:rPr>
        <w:t>American Philosophy</w:t>
      </w:r>
    </w:p>
    <w:p>
      <w:pPr>
        <w:spacing w:line="240" w:lineRule="auto"/>
        <w:jc w:val="center"/>
        <w:pStyle w:val="BodyText"/>
        <w:rPr>
          <w:caps/>
        </w:rPr>
      </w:pPr>
      <w:r>
        <w:t>Edited by</w:t>
      </w:r>
    </w:p>
    <w:p>
      <w:pPr>
        <w:spacing w:after="40" w:afterAutospacing="0" w:line="240" w:lineRule="auto"/>
        <w:jc w:val="center"/>
        <w:pStyle w:val="BodyText"/>
      </w:pPr>
      <w:r>
        <w:t>John R. Shook</w:t>
      </w:r>
    </w:p>
    <w:p>
      <w:pPr>
        <w:spacing w:line="240" w:lineRule="auto"/>
        <w:jc w:val="center"/>
        <w:pStyle w:val="BodyText"/>
        <w:rPr>
          <w:sz w:val="18"/>
          <w:i/>
        </w:rPr>
      </w:pPr>
      <w:r>
        <w:rPr>
          <w:sz w:val="18"/>
          <w:i/>
        </w:rPr>
        <w:t>Research Associate</w:t>
      </w:r>
    </w:p>
    <w:p>
      <w:pPr>
        <w:spacing w:line="240" w:lineRule="auto"/>
        <w:jc w:val="center"/>
        <w:pStyle w:val="BodyText"/>
        <w:rPr>
          <w:sz w:val="18"/>
          <w:i/>
        </w:rPr>
      </w:pPr>
      <w:r>
        <w:rPr>
          <w:sz w:val="18"/>
          <w:i/>
        </w:rPr>
        <w:t>Department of Philosophy</w:t>
      </w:r>
    </w:p>
    <w:p>
      <w:pPr>
        <w:spacing w:line="240" w:lineRule="auto"/>
        <w:jc w:val="center"/>
        <w:pStyle w:val="BodyText"/>
        <w:rPr>
          <w:sz w:val="18"/>
          <w:i/>
        </w:rPr>
      </w:pPr>
      <w:r>
        <w:rPr>
          <w:sz w:val="18"/>
          <w:i/>
        </w:rPr>
        <w:t>and</w:t>
      </w:r>
    </w:p>
    <w:p>
      <w:pPr>
        <w:spacing w:line="240" w:lineRule="auto"/>
        <w:jc w:val="center"/>
        <w:pStyle w:val="BodyText"/>
        <w:rPr>
          <w:sz w:val="18"/>
          <w:i/>
        </w:rPr>
      </w:pPr>
      <w:r>
        <w:rPr>
          <w:sz w:val="18"/>
          <w:i/>
        </w:rPr>
        <w:t>Instructor of Science Education</w:t>
      </w:r>
    </w:p>
    <w:p>
      <w:pPr>
        <w:spacing w:line="240" w:lineRule="auto"/>
        <w:jc w:val="center"/>
        <w:pStyle w:val="BodyText"/>
        <w:rPr>
          <w:sz w:val="18"/>
          <w:i/>
        </w:rPr>
      </w:pPr>
      <w:r>
        <w:rPr>
          <w:sz w:val="18"/>
          <w:i/>
        </w:rPr>
        <w:t>Graduate School of Education</w:t>
      </w:r>
    </w:p>
    <w:p>
      <w:pPr>
        <w:spacing w:after="300" w:afterAutospacing="0" w:line="240" w:lineRule="auto"/>
        <w:jc w:val="center"/>
        <w:pStyle w:val="BodyText"/>
        <w:rPr>
          <w:i/>
        </w:rPr>
      </w:pPr>
      <w:r>
        <w:rPr>
          <w:sz w:val="18"/>
          <w:i/>
        </w:rPr>
        <w:t>State University of New York at Buffalo</w:t>
      </w:r>
    </w:p>
    <w:p>
      <w:pPr>
        <w:spacing w:line="240" w:lineRule="auto"/>
        <w:jc w:val="center"/>
        <w:pStyle w:val="BodyText"/>
      </w:pPr>
      <w:r>
        <w:t>Centennial Series Editor</w:t>
      </w:r>
    </w:p>
    <w:p>
      <w:pPr>
        <w:spacing w:after="40" w:afterAutospacing="0" w:line="240" w:lineRule="auto"/>
        <w:jc w:val="center"/>
        <w:pStyle w:val="BodyText"/>
      </w:pPr>
      <w:r>
        <w:t>Richard T. Hull</w:t>
      </w:r>
    </w:p>
    <w:p>
      <w:pPr>
        <w:jc w:val="center"/>
        <w:rPr>
          <w:rFonts w:ascii="Times New Roman" w:hAnsi="Times New Roman" w:eastAsia="Times New Roman"/>
          <w:sz w:val="18"/>
          <w:i/>
          <w:color w:val="auto"/>
        </w:rPr>
      </w:pPr>
      <w:r>
        <w:rPr>
          <w:rFonts w:ascii="Times New Roman" w:hAnsi="Times New Roman" w:eastAsia="Times New Roman"/>
          <w:sz w:val="18"/>
          <w:i/>
          <w:color w:val="auto"/>
        </w:rPr>
        <w:t>Professor Emeritus</w:t>
      </w:r>
    </w:p>
    <w:p>
      <w:pPr>
        <w:jc w:val="center"/>
        <w:rPr>
          <w:rFonts w:ascii="Times New Roman" w:hAnsi="Times New Roman" w:eastAsia="Times New Roman"/>
          <w:sz w:val="18"/>
          <w:i/>
          <w:color w:val="auto"/>
        </w:rPr>
      </w:pPr>
      <w:r>
        <w:rPr>
          <w:rFonts w:ascii="Times New Roman" w:hAnsi="Times New Roman" w:eastAsia="Times New Roman"/>
          <w:sz w:val="18"/>
          <w:i/>
          <w:color w:val="auto"/>
        </w:rPr>
        <w:t>Department of Philosophy</w:t>
      </w:r>
    </w:p>
    <w:p>
      <w:pPr>
        <w:spacing w:after="600" w:afterAutospacing="0"/>
        <w:jc w:val="center"/>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5" Type="http://schemas.openxmlformats.org/officeDocument/2006/relationships/header" Target="header2.xml" r:id="rId5"/>
        </w:sectPr>
        <w:rPr>
          <w:rFonts w:ascii="Times New Roman" w:hAnsi="Times New Roman" w:eastAsia="Times New Roman"/>
          <w:sz w:val="18"/>
          <w:color w:val="auto"/>
        </w:rPr>
      </w:pPr>
      <w:r>
        <w:rPr>
          <w:rFonts w:ascii="Times New Roman" w:hAnsi="Times New Roman" w:eastAsia="Times New Roman"/>
          <w:sz w:val="18"/>
          <w:i/>
          <w:color w:val="auto"/>
        </w:rPr>
        <w:t>State University of New York at Buffalo</w:t>
      </w:r>
    </w:p>
    <w:p>
      <w:pPr>
        <w:pStyle w:val="Heading1"/>
      </w:pPr>
      <w:r/>
      <w:bookmarkStart w:id="2" w:name="COPYRIGHT"/>
      <w:r>
        <w:t>COPYRIGHT</w:t>
      </w:r>
      <w:bookmarkEnd w:id="2"/>
    </w:p>
    <w:p>
      <w:pPr>
        <w:spacing w:after="200" w:afterAutospacing="0"/>
        <w:jc w:val="center"/>
        <w:rPr>
          <w:rFonts w:ascii="Times New Roman" w:hAnsi="Times New Roman" w:eastAsia="Times New Roman"/>
          <w:sz w:val="18"/>
        </w:rPr>
      </w:pPr>
      <w:r>
        <w:rPr>
          <w:rFonts w:ascii="Times New Roman" w:hAnsi="Times New Roman" w:eastAsia="Times New Roman"/>
          <w:sz w:val="18"/>
          <w:color w:val="auto"/>
        </w:rPr>
        <w:t>Published 2015 by Richard T. Hull</w:t>
      </w:r>
    </w:p>
    <w:p>
      <w:pPr>
        <w:spacing w:after="180" w:afterAutospacing="0" w:line="240" w:lineRule="auto"/>
        <w:pStyle w:val="BodyText"/>
        <w:rPr>
          <w:sz w:val="24"/>
        </w:rPr>
      </w:pPr>
      <w:r>
        <w:rPr>
          <w:sz w:val="18"/>
          <w:i/>
        </w:rPr>
        <w:t xml:space="preserve">Historical Essays in 20th Century American Philosophy </w:t>
      </w:r>
      <w:r>
        <w:rPr>
          <w:sz w:val="18"/>
        </w:rPr>
        <w:t xml:space="preserve">(volume 11 of The American Philosophical Association Centennial Series). Copyright </w:t>
      </w:r>
      <w:r>
        <w:rPr>
          <w:sz w:val="18"/>
          <w:vertAlign w:val="superscript"/>
        </w:rPr>
        <w:t>©</w:t>
      </w:r>
      <w:r>
        <w:rPr>
          <w:sz w:val="18"/>
        </w:rPr>
        <w:t xml:space="preserve"> 2015 by Richard T. Hull. All rights reserved. No part of this publication may be reproduced, stored in a retrieval system, or transmitted in any form or by any means, digital, electronic, mechanical, photocopying, recording, or otherwise, or conveyed via the Internet or a website without prior written permission of the publisher, except in the case of brief quotations embodied in critical articles and reviews as permitted under Section 107 of the United States Copyright Act of 1976.</w:t>
      </w:r>
    </w:p>
    <w:p>
      <w:pPr>
        <w:spacing w:after="180" w:afterAutospacing="0" w:line="240" w:lineRule="auto"/>
        <w:pStyle w:val="BodyText"/>
        <w:rPr>
          <w:sz w:val="18"/>
        </w:rPr>
      </w:pPr>
      <w:r>
        <w:rPr>
          <w:sz w:val="18"/>
        </w:rPr>
        <w:t>The Philosophy Documentation Center administers sales and distribution of all volumes of The American Philosophical Association Centennial Series. Permissions and access requests are managed by the Philosophy Documentation Center.</w:t>
      </w:r>
    </w:p>
    <w:p>
      <w:pPr>
        <w:jc w:val="center"/>
        <w:rPr>
          <w:rFonts w:ascii="Times New Roman" w:hAnsi="Times New Roman" w:eastAsia="Times New Roman"/>
          <w:sz w:val="18"/>
          <w:color w:val="auto"/>
        </w:rPr>
      </w:pPr>
      <w:r>
        <w:rPr>
          <w:rFonts w:ascii="Times New Roman" w:hAnsi="Times New Roman" w:eastAsia="Times New Roman"/>
          <w:sz w:val="18"/>
          <w:color w:val="auto"/>
        </w:rPr>
        <w:t>Inquires should be addressed to:</w:t>
      </w:r>
    </w:p>
    <w:p>
      <w:pPr>
        <w:jc w:val="center"/>
        <w:rPr>
          <w:rFonts w:ascii="Times New Roman" w:hAnsi="Times New Roman" w:eastAsia="Times New Roman"/>
          <w:sz w:val="18"/>
          <w:color w:val="auto"/>
        </w:rPr>
      </w:pPr>
      <w:r>
        <w:rPr>
          <w:rFonts w:ascii="Times New Roman" w:hAnsi="Times New Roman" w:eastAsia="Times New Roman"/>
          <w:sz w:val="18"/>
          <w:color w:val="auto"/>
        </w:rPr>
        <w:t>Philosophy Documentation Center</w:t>
      </w:r>
    </w:p>
    <w:p>
      <w:pPr>
        <w:jc w:val="center"/>
        <w:rPr>
          <w:rFonts w:ascii="Times New Roman" w:hAnsi="Times New Roman" w:eastAsia="Times New Roman"/>
          <w:sz w:val="18"/>
          <w:color w:val="auto"/>
        </w:rPr>
      </w:pPr>
      <w:r>
        <w:rPr>
          <w:rFonts w:ascii="Times New Roman" w:hAnsi="Times New Roman" w:eastAsia="Times New Roman"/>
          <w:sz w:val="18"/>
          <w:color w:val="auto"/>
        </w:rPr>
        <w:t>P.O. Box 71747</w:t>
      </w:r>
    </w:p>
    <w:p>
      <w:pPr>
        <w:jc w:val="center"/>
        <w:rPr>
          <w:rFonts w:ascii="Times New Roman" w:hAnsi="Times New Roman" w:eastAsia="Times New Roman"/>
          <w:sz w:val="18"/>
          <w:color w:val="auto"/>
        </w:rPr>
      </w:pPr>
      <w:r>
        <w:rPr>
          <w:rFonts w:ascii="Times New Roman" w:hAnsi="Times New Roman" w:eastAsia="Times New Roman"/>
          <w:sz w:val="18"/>
          <w:color w:val="auto"/>
        </w:rPr>
        <w:t xml:space="preserve">Charlottesville, Virginia 22906 </w:t>
      </w:r>
      <w:r>
        <w:rPr>
          <w:rFonts w:ascii="Times New Roman" w:hAnsi="Times New Roman" w:eastAsia="Times New Roman"/>
          <w:sz w:val="18"/>
          <w:color w:val="auto"/>
        </w:rPr>
        <w:t>–</w:t>
      </w:r>
      <w:r>
        <w:rPr>
          <w:rFonts w:ascii="Times New Roman" w:hAnsi="Times New Roman" w:eastAsia="Times New Roman"/>
          <w:sz w:val="18"/>
          <w:color w:val="auto"/>
        </w:rPr>
        <w:t xml:space="preserve"> USA</w:t>
      </w:r>
    </w:p>
    <w:p>
      <w:pPr>
        <w:jc w:val="center"/>
        <w:rPr>
          <w:rFonts w:ascii="Times New Roman" w:hAnsi="Times New Roman" w:eastAsia="Times New Roman"/>
          <w:sz w:val="18"/>
          <w:color w:val="auto"/>
        </w:rPr>
      </w:pPr>
      <w:r>
        <w:rPr>
          <w:rFonts w:ascii="Times New Roman" w:hAnsi="Times New Roman" w:eastAsia="Times New Roman"/>
          <w:sz w:val="18"/>
          <w:color w:val="0000FF"/>
          <w:u w:val="single"/>
        </w:rPr>
        <w:fldChar w:fldCharType="begin"/>
        <w:instrText xml:space="preserve"> HYPERLINK "http://www.pdcnet.org" </w:instrText>
        <w:fldChar w:fldCharType="separate"/>
      </w:r>
      <w:r>
        <w:rPr>
          <w:rFonts w:ascii="Times New Roman" w:hAnsi="Times New Roman" w:eastAsia="Times New Roman"/>
          <w:sz w:val="18"/>
          <w:color w:val="0000FF"/>
          <w:u w:val="single"/>
        </w:rPr>
        <w:t>http://www.pdcnet.org</w:t>
        <w:fldChar w:fldCharType="end"/>
      </w:r>
    </w:p>
    <w:p>
      <w:pPr>
        <w:spacing w:after="180" w:afterAutospacing="0"/>
        <w:jc w:val="center"/>
        <w:rPr>
          <w:rFonts w:ascii="Times New Roman" w:hAnsi="Times New Roman" w:eastAsia="Times New Roman"/>
          <w:sz w:val="18"/>
          <w:color w:val="auto"/>
        </w:rPr>
      </w:pPr>
      <w:r>
        <w:rPr>
          <w:rFonts w:ascii="Times New Roman" w:hAnsi="Times New Roman" w:eastAsia="Times New Roman"/>
          <w:sz w:val="18"/>
          <w:color w:val="auto"/>
        </w:rPr>
        <w:t>Library of Congress Cataloging-in-Publication Data</w:t>
      </w:r>
    </w:p>
    <w:p>
      <w:pPr>
        <w:spacing w:after="180" w:afterAutospacing="0"/>
        <w:rPr>
          <w:rFonts w:ascii="Times New Roman" w:hAnsi="Times New Roman" w:eastAsia="Times New Roman"/>
          <w:sz w:val="18"/>
          <w:color w:val="auto"/>
        </w:rPr>
      </w:pPr>
      <w:r>
        <w:rPr>
          <w:rFonts w:ascii="Times New Roman" w:hAnsi="Times New Roman" w:eastAsia="Times New Roman"/>
          <w:sz w:val="18"/>
          <w:color w:val="auto"/>
        </w:rPr>
        <w:t>Historical Essays in 20th Century American Philosophy. Edited by John R. Shook.</w:t>
      </w:r>
    </w:p>
    <w:p>
      <w:pPr>
        <w:spacing w:after="180" w:afterAutospacing="0"/>
        <w:rPr>
          <w:rFonts w:ascii="Times New Roman" w:hAnsi="Times New Roman" w:eastAsia="Times New Roman"/>
          <w:sz w:val="18"/>
          <w:color w:val="auto"/>
        </w:rPr>
      </w:pPr>
      <w:r>
        <w:rPr>
          <w:rFonts w:ascii="Times New Roman" w:hAnsi="Times New Roman" w:eastAsia="Times New Roman"/>
          <w:sz w:val="18"/>
          <w:color w:val="auto"/>
        </w:rPr>
        <w:t xml:space="preserve">Includes biographical information, bibliographical references, and  index. </w:t>
      </w:r>
    </w:p>
    <w:p>
      <w:pPr>
        <w:rPr>
          <w:rFonts w:ascii="Times New Roman" w:hAnsi="Times New Roman" w:eastAsia="Times New Roman"/>
          <w:sz w:val="18"/>
          <w:color w:val="auto"/>
        </w:rPr>
      </w:pPr>
      <w:r>
        <w:rPr>
          <w:rFonts w:ascii="Times New Roman" w:hAnsi="Times New Roman" w:eastAsia="Times New Roman"/>
          <w:sz w:val="18"/>
          <w:color w:val="auto"/>
        </w:rPr>
        <w:t>Print ISBN-10:0985974826; ISBN-13:978-0-9859748-2-4</w:t>
      </w:r>
    </w:p>
    <w:p>
      <w:pPr>
        <w:spacing w:after="180" w:afterAutospacing="0"/>
        <w:rPr>
          <w:rFonts w:ascii="Times New Roman" w:hAnsi="Times New Roman" w:eastAsia="Times New Roman"/>
          <w:sz w:val="18"/>
          <w:color w:val="auto"/>
        </w:rPr>
      </w:pPr>
      <w:r>
        <w:rPr>
          <w:rFonts w:ascii="Times New Roman" w:hAnsi="Times New Roman" w:eastAsia="Times New Roman"/>
          <w:sz w:val="18"/>
          <w:color w:val="auto"/>
        </w:rPr>
        <w:t>Electronic ISBN-10:0985974834 ISBN-13:978-0-9859748-3-1</w:t>
      </w:r>
    </w:p>
    <w:p>
      <w:pPr>
        <w:spacing w:after="180" w:afterAutospacing="0" w:line="240" w:lineRule="auto"/>
        <w:pStyle w:val="BodyText"/>
        <w:rPr>
          <w:sz w:val="18"/>
        </w:rPr>
      </w:pPr>
      <w:r>
        <w:rPr>
          <w:sz w:val="18"/>
        </w:rPr>
        <w:t>References to Internet websites (URLs) were accurate at the time of writing. Neither the Editor, publisher, nor PDC is responsible for URLs that may have expired or changed since the manuscript was prepared.</w:t>
      </w:r>
    </w:p>
    <w:p>
      <w:pPr>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6" Type="http://schemas.openxmlformats.org/officeDocument/2006/relationships/header" Target="header3.xml" r:id="rId6"/>
        </w:sectPr>
        <w:rPr>
          <w:rFonts w:ascii="Times New Roman" w:hAnsi="Times New Roman" w:eastAsia="Times New Roman"/>
          <w:sz w:val="18"/>
        </w:rPr>
      </w:pPr>
    </w:p>
    <w:p>
      <w:pPr>
        <w:keepNext w:val="0"/>
        <w:pStyle w:val="Heading1"/>
        <w:tabs>
          <w:tab w:val="center" w:pos="3240" w:leader="none"/>
        </w:tabs>
      </w:pPr>
      <w:r/>
      <w:bookmarkStart w:id="4" w:name="TABLE_OF_CONTENTS"/>
      <w:r>
        <w:t>TABLE OF CONTENTS</w:t>
      </w:r>
      <w:bookmarkEnd w:id="4"/>
    </w:p>
    <w:p>
      <w:pPr>
        <w:pStyle w:val="TOC6"/>
        <w:rPr>
          <w:smallCaps w:val="0"/>
        </w:rPr>
      </w:pPr>
      <w:r>
        <w:rPr>
          <w:color w:val="0000FF"/>
          <w:u w:val="single"/>
        </w:rPr>
        <w:fldChar w:fldCharType="begin"/>
        <w:instrText xml:space="preserve"> HYPERLINK \l "EDITORIAL_FOREWORD" </w:instrText>
        <w:fldChar w:fldCharType="separate"/>
      </w:r>
      <w:r>
        <w:rPr>
          <w:color w:val="0000FF"/>
          <w:u w:val="single"/>
        </w:rPr>
        <w:t>Editorial Forward</w:t>
        <w:fldChar w:fldCharType="end"/>
      </w:r>
    </w:p>
    <w:p>
      <w:pPr>
        <w:ind w:left="446"/>
        <w:spacing w:after="60" w:afterAutospacing="0"/>
        <w:pStyle w:val="TOC6"/>
        <w:rPr>
          <w:smallCaps w:val="0"/>
        </w:rPr>
      </w:pPr>
      <w:r>
        <w:rPr>
          <w:smallCaps w:val="0"/>
        </w:rPr>
        <w:t>Richard T. Hull</w:t>
      </w:r>
    </w:p>
    <w:p>
      <w:pPr>
        <w:spacing w:after="60" w:afterAutospacing="0"/>
        <w:pStyle w:val="TOC6"/>
        <w:rPr>
          <w:smallCaps w:val="0"/>
        </w:rPr>
      </w:pPr>
      <w:r>
        <w:rPr>
          <w:color w:val="0000FF"/>
          <w:u w:val="single"/>
        </w:rPr>
        <w:fldChar w:fldCharType="begin"/>
        <w:instrText xml:space="preserve"> HYPERLINK \l "CHRONOLOGY_OF_THE_APA" </w:instrText>
        <w:fldChar w:fldCharType="separate"/>
      </w:r>
      <w:r>
        <w:rPr>
          <w:color w:val="0000FF"/>
          <w:u w:val="single"/>
        </w:rPr>
        <w:t>Chronology of The APA</w:t>
        <w:fldChar w:fldCharType="end"/>
      </w:r>
    </w:p>
    <w:p>
      <w:pPr>
        <w:spacing w:after="60" w:afterAutospacing="0"/>
        <w:pStyle w:val="TOC6"/>
        <w:rPr>
          <w:smallCaps w:val="0"/>
        </w:rPr>
      </w:pPr>
      <w:r>
        <w:rPr>
          <w:color w:val="0000FF"/>
          <w:u w:val="single"/>
        </w:rPr>
        <w:fldChar w:fldCharType="begin"/>
        <w:instrText xml:space="preserve"> HYPERLINK \l "ACKNOWLEDGMENTS" </w:instrText>
        <w:fldChar w:fldCharType="separate"/>
      </w:r>
      <w:r>
        <w:rPr>
          <w:color w:val="0000FF"/>
          <w:u w:val="single"/>
        </w:rPr>
        <w:t>Acknowledgments</w:t>
        <w:fldChar w:fldCharType="end"/>
      </w:r>
    </w:p>
    <w:p>
      <w:pPr>
        <w:spacing w:after="60" w:afterAutospacing="0"/>
        <w:pStyle w:val="TOC6"/>
        <w:rPr>
          <w:smallCaps w:val="0"/>
        </w:rPr>
      </w:pPr>
      <w:r>
        <w:rPr>
          <w:color w:val="0000FF"/>
          <w:u w:val="single"/>
        </w:rPr>
        <w:fldChar w:fldCharType="begin"/>
        <w:instrText xml:space="preserve"> HYPERLINK \l "EDITORIAL_NOTES" </w:instrText>
        <w:fldChar w:fldCharType="separate"/>
      </w:r>
      <w:r>
        <w:rPr>
          <w:color w:val="0000FF"/>
          <w:u w:val="single"/>
        </w:rPr>
        <w:t>Editorial Notes</w:t>
        <w:fldChar w:fldCharType="end"/>
      </w:r>
    </w:p>
    <w:p>
      <w:pPr>
        <w:pStyle w:val="TOC6"/>
        <w:rPr>
          <w:smallCaps w:val="0"/>
        </w:rPr>
      </w:pPr>
      <w:r>
        <w:rPr>
          <w:color w:val="0000FF"/>
          <w:u w:val="single"/>
        </w:rPr>
        <w:fldChar w:fldCharType="begin"/>
        <w:instrText xml:space="preserve"> HYPERLINK \l "INTRODUCTION" </w:instrText>
        <w:fldChar w:fldCharType="separate"/>
      </w:r>
      <w:r>
        <w:rPr>
          <w:color w:val="0000FF"/>
          <w:u w:val="single"/>
        </w:rPr>
        <w:t>Introduction</w:t>
        <w:fldChar w:fldCharType="end"/>
      </w:r>
    </w:p>
    <w:p>
      <w:pPr>
        <w:ind w:left="446"/>
        <w:spacing w:after="60" w:afterAutospacing="0"/>
        <w:pStyle w:val="TOC6"/>
        <w:rPr>
          <w:smallCaps w:val="0"/>
        </w:rPr>
      </w:pPr>
      <w:r>
        <w:rPr>
          <w:smallCaps w:val="0"/>
        </w:rPr>
        <w:t>John R. Shook</w:t>
      </w:r>
    </w:p>
    <w:p>
      <w:pPr>
        <w:pStyle w:val="TOC6"/>
        <w:rPr>
          <w:i/>
          <w:smallCaps w:val="0"/>
        </w:rPr>
      </w:pPr>
      <w:r>
        <w:rPr>
          <w:i/>
          <w:smallCaps w:val="0"/>
          <w:color w:val="0000FF"/>
          <w:u w:val="single"/>
        </w:rPr>
        <w:fldChar w:fldCharType="begin"/>
        <w:instrText xml:space="preserve"> HYPERLINK \l "THE_APA_PRESIDENTIAL_ADDRESSES_1901–1910" </w:instrText>
        <w:fldChar w:fldCharType="separate"/>
      </w:r>
      <w:r>
        <w:rPr>
          <w:i/>
          <w:smallCaps w:val="0"/>
          <w:color w:val="0000FF"/>
          <w:u w:val="single"/>
        </w:rPr>
        <w:t>The APA Presidential Addresses 1901–1910</w:t>
        <w:fldChar w:fldCharType="end"/>
      </w:r>
    </w:p>
    <w:p>
      <w:pPr>
        <w:ind w:left="446"/>
        <w:spacing w:after="60" w:afterAutospacing="0"/>
        <w:pStyle w:val="TOC6"/>
        <w:rPr>
          <w:smallCaps w:val="0"/>
        </w:rPr>
      </w:pPr>
      <w:r>
        <w:rPr>
          <w:smallCaps w:val="0"/>
        </w:rPr>
        <w:t>James A. Good and John R. Shook</w:t>
      </w:r>
    </w:p>
    <w:p>
      <w:pPr>
        <w:pStyle w:val="TOC6"/>
        <w:rPr>
          <w:smallCaps w:val="0"/>
        </w:rPr>
      </w:pPr>
      <w:r>
        <w:rPr>
          <w:i/>
          <w:smallCaps w:val="0"/>
          <w:color w:val="0000FF"/>
          <w:u w:val="single"/>
        </w:rPr>
        <w:fldChar w:fldCharType="begin"/>
        <w:instrText xml:space="preserve"> HYPERLINK \l "A_MOMENT_OF_SHINING_RELEVANCE" </w:instrText>
        <w:fldChar w:fldCharType="separate"/>
      </w:r>
      <w:r>
        <w:rPr>
          <w:i/>
          <w:smallCaps w:val="0"/>
          <w:color w:val="0000FF"/>
          <w:u w:val="single"/>
        </w:rPr>
        <w:t>A Moment of Shining Relevance: Professional</w:t>
      </w:r>
      <w:r>
        <w:rPr>
          <w:smallCaps w:val="0"/>
          <w:color w:val="0000FF"/>
          <w:u w:val="single"/>
        </w:rPr>
        <w:t xml:space="preserve"> </w:t>
      </w:r>
      <w:r>
        <w:rPr>
          <w:i/>
          <w:smallCaps w:val="0"/>
          <w:color w:val="0000FF"/>
          <w:u w:val="single"/>
        </w:rPr>
        <w:t>Philosophy, 1911–1920</w:t>
        <w:fldChar w:fldCharType="end"/>
      </w:r>
    </w:p>
    <w:p>
      <w:pPr>
        <w:ind w:left="446"/>
        <w:spacing w:after="60" w:afterAutospacing="0"/>
        <w:pStyle w:val="TOC6"/>
        <w:rPr>
          <w:i/>
          <w:smallCaps w:val="0"/>
        </w:rPr>
      </w:pPr>
      <w:r>
        <w:rPr>
          <w:smallCaps w:val="0"/>
        </w:rPr>
        <w:t>Randall Auxier</w:t>
      </w:r>
    </w:p>
    <w:p>
      <w:pPr>
        <w:pStyle w:val="TOC6"/>
        <w:rPr>
          <w:smallCaps w:val="0"/>
        </w:rPr>
      </w:pPr>
      <w:r>
        <w:rPr>
          <w:i/>
          <w:smallCaps w:val="0"/>
          <w:color w:val="0000FF"/>
          <w:u w:val="single"/>
        </w:rPr>
        <w:fldChar w:fldCharType="begin"/>
        <w:instrText xml:space="preserve"> HYPERLINK \l "PHILOSOPHICAL_LEGACIES_OF_THE_1920s" </w:instrText>
        <w:fldChar w:fldCharType="separate"/>
      </w:r>
      <w:r>
        <w:rPr>
          <w:i/>
          <w:smallCaps w:val="0"/>
          <w:color w:val="0000FF"/>
          <w:u w:val="single"/>
        </w:rPr>
        <w:t>Philosophical Legacies of the 1920s</w:t>
        <w:fldChar w:fldCharType="end"/>
      </w:r>
    </w:p>
    <w:p>
      <w:pPr>
        <w:ind w:left="446"/>
        <w:spacing w:after="60" w:afterAutospacing="0"/>
        <w:pStyle w:val="TOC6"/>
        <w:rPr>
          <w:i/>
          <w:smallCaps w:val="0"/>
        </w:rPr>
      </w:pPr>
      <w:r>
        <w:rPr>
          <w:smallCaps w:val="0"/>
        </w:rPr>
        <w:t>Michael Brodrick</w:t>
      </w:r>
    </w:p>
    <w:p>
      <w:pPr>
        <w:pStyle w:val="TOC6"/>
        <w:rPr>
          <w:smallCaps w:val="0"/>
        </w:rPr>
      </w:pPr>
      <w:r>
        <w:rPr>
          <w:i/>
          <w:smallCaps w:val="0"/>
          <w:color w:val="0000FF"/>
          <w:u w:val="single"/>
        </w:rPr>
        <w:fldChar w:fldCharType="begin"/>
        <w:instrText xml:space="preserve"> HYPERLINK \l "PHILOSOPHY_IN_THE_AGE_OF_FASCISM" </w:instrText>
        <w:fldChar w:fldCharType="separate"/>
      </w:r>
      <w:r>
        <w:rPr>
          <w:i/>
          <w:smallCaps w:val="0"/>
          <w:color w:val="0000FF"/>
          <w:u w:val="single"/>
        </w:rPr>
        <w:t>Philosophy in the Age of Fascism: Reflections on the Presidential Addresses of the APA, 1931–1940</w:t>
        <w:fldChar w:fldCharType="end"/>
      </w:r>
    </w:p>
    <w:p>
      <w:pPr>
        <w:ind w:left="446"/>
        <w:spacing w:after="60" w:afterAutospacing="0"/>
        <w:pStyle w:val="TOC6"/>
        <w:rPr>
          <w:smallCaps w:val="0"/>
        </w:rPr>
      </w:pPr>
      <w:r>
        <w:rPr>
          <w:smallCaps w:val="0"/>
        </w:rPr>
        <w:t>Brian G. Henning</w:t>
      </w:r>
    </w:p>
    <w:p>
      <w:pPr>
        <w:pStyle w:val="TOC6"/>
        <w:rPr>
          <w:smallCaps w:val="0"/>
        </w:rPr>
      </w:pPr>
      <w:r>
        <w:rPr>
          <w:i/>
          <w:smallCaps w:val="0"/>
          <w:color w:val="0000FF"/>
          <w:u w:val="single"/>
        </w:rPr>
        <w:fldChar w:fldCharType="begin"/>
        <w:instrText xml:space="preserve"> HYPERLINK \l "PHILOSOPHERS_DURING_WARTIME_AND_PEACETIM" </w:instrText>
        <w:fldChar w:fldCharType="separate"/>
      </w:r>
      <w:r>
        <w:rPr>
          <w:i/>
          <w:smallCaps w:val="0"/>
          <w:color w:val="0000FF"/>
          <w:u w:val="single"/>
        </w:rPr>
        <w:t>Philosophers during Wartime and Peacetime, 1941–1950</w:t>
        <w:fldChar w:fldCharType="end"/>
      </w:r>
    </w:p>
    <w:p>
      <w:pPr>
        <w:ind w:left="446"/>
        <w:spacing w:after="60" w:afterAutospacing="0"/>
        <w:pStyle w:val="TOC6"/>
        <w:rPr>
          <w:smallCaps w:val="0"/>
        </w:rPr>
      </w:pPr>
      <w:r>
        <w:rPr>
          <w:i/>
          <w:smallCaps w:val="0"/>
        </w:rPr>
        <w:tab/>
      </w:r>
      <w:r>
        <w:rPr>
          <w:smallCaps w:val="0"/>
        </w:rPr>
        <w:t>John R. Shook</w:t>
      </w:r>
    </w:p>
    <w:p>
      <w:pPr>
        <w:pStyle w:val="TOC6"/>
        <w:rPr>
          <w:smallCaps w:val="0"/>
        </w:rPr>
      </w:pPr>
      <w:r>
        <w:rPr>
          <w:i/>
          <w:smallCaps w:val="0"/>
          <w:color w:val="0000FF"/>
          <w:u w:val="single"/>
        </w:rPr>
        <w:fldChar w:fldCharType="begin"/>
        <w:instrText xml:space="preserve"> HYPERLINK \l "An_Anxious_Age" </w:instrText>
        <w:fldChar w:fldCharType="separate"/>
      </w:r>
      <w:r>
        <w:rPr>
          <w:i/>
          <w:smallCaps w:val="0"/>
          <w:color w:val="0000FF"/>
          <w:u w:val="single"/>
        </w:rPr>
        <w:tab/>
      </w:r>
      <w:r>
        <w:rPr>
          <w:i/>
          <w:smallCaps w:val="0"/>
          <w:color w:val="0000FF"/>
          <w:u w:val="single"/>
        </w:rPr>
        <w:t>An Axious Age: American Philosophy during</w:t>
      </w:r>
      <w:r>
        <w:rPr>
          <w:smallCaps w:val="0"/>
          <w:color w:val="0000FF"/>
          <w:u w:val="single"/>
        </w:rPr>
        <w:t xml:space="preserve"> </w:t>
      </w:r>
      <w:r>
        <w:rPr>
          <w:i/>
          <w:smallCaps w:val="0"/>
          <w:color w:val="0000FF"/>
          <w:u w:val="single"/>
        </w:rPr>
        <w:t>the 1950s</w:t>
        <w:fldChar w:fldCharType="end"/>
      </w:r>
    </w:p>
    <w:p>
      <w:pPr>
        <w:ind w:left="446"/>
        <w:spacing w:after="60" w:afterAutospacing="0"/>
        <w:pStyle w:val="TOC6"/>
        <w:rPr>
          <w:smallCaps w:val="0"/>
        </w:rPr>
      </w:pPr>
      <w:r>
        <w:rPr>
          <w:smallCaps w:val="0"/>
        </w:rPr>
        <w:t>Frank X. Ryan</w:t>
      </w:r>
    </w:p>
    <w:p>
      <w:pPr>
        <w:pStyle w:val="TOC6"/>
        <w:rPr>
          <w:smallCaps w:val="0"/>
        </w:rPr>
      </w:pPr>
      <w:r>
        <w:rPr>
          <w:smallCaps w:val="0"/>
        </w:rPr>
        <w:tab/>
        <w:fldChar w:fldCharType="begin"/>
        <w:instrText xml:space="preserve"> HYPERLINK \l "addresses_During_the_1960s" </w:instrText>
        <w:fldChar w:fldCharType="separate"/>
      </w:r>
      <w:r>
        <w:rPr>
          <w:i/>
          <w:smallCaps w:val="0"/>
          <w:color w:val="0000FF"/>
          <w:u w:val="single"/>
        </w:rPr>
        <w:t>The APA Presidential Addresses during the 1960s</w:t>
        <w:fldChar w:fldCharType="end"/>
      </w:r>
    </w:p>
    <w:p>
      <w:pPr>
        <w:ind w:left="446"/>
        <w:spacing w:after="60" w:afterAutospacing="0"/>
        <w:pStyle w:val="TOC6"/>
        <w:rPr>
          <w:i/>
          <w:smallCaps w:val="0"/>
        </w:rPr>
      </w:pPr>
      <w:r>
        <w:rPr>
          <w:smallCaps w:val="0"/>
        </w:rPr>
        <w:tab/>
      </w:r>
      <w:r>
        <w:rPr>
          <w:smallCaps w:val="0"/>
        </w:rPr>
        <w:t>David Johnson and John R. Shook</w:t>
      </w:r>
    </w:p>
    <w:p>
      <w:pPr>
        <w:pStyle w:val="TOC6"/>
        <w:rPr>
          <w:smallCaps w:val="0"/>
        </w:rPr>
      </w:pPr>
      <w:r>
        <w:rPr>
          <w:i/>
          <w:smallCaps w:val="0"/>
        </w:rPr>
        <w:t>Philosophy in America during the 1970s</w:t>
      </w:r>
    </w:p>
    <w:p>
      <w:pPr>
        <w:ind w:left="446"/>
        <w:spacing w:after="60" w:afterAutospacing="0"/>
        <w:pStyle w:val="TOC6"/>
        <w:rPr>
          <w:i/>
          <w:smallCaps w:val="0"/>
        </w:rPr>
      </w:pPr>
      <w:r>
        <w:rPr>
          <w:smallCaps w:val="0"/>
        </w:rPr>
        <w:tab/>
      </w:r>
      <w:r>
        <w:rPr>
          <w:smallCaps w:val="0"/>
        </w:rPr>
        <w:t>David Boersema</w:t>
      </w:r>
    </w:p>
    <w:p>
      <w:pPr>
        <w:pStyle w:val="TOC6"/>
        <w:rPr>
          <w:smallCaps w:val="0"/>
        </w:rPr>
      </w:pPr>
      <w:r>
        <w:rPr>
          <w:i/>
          <w:smallCaps w:val="0"/>
        </w:rPr>
        <w:t>The Last Decade of the Cold War, the 1980s</w:t>
      </w:r>
    </w:p>
    <w:p>
      <w:pPr>
        <w:ind w:left="446"/>
        <w:spacing w:after="60" w:afterAutospacing="0"/>
        <w:pStyle w:val="TOC6"/>
        <w:rPr>
          <w:i/>
          <w:smallCaps w:val="0"/>
        </w:rPr>
      </w:pPr>
      <w:r>
        <w:rPr>
          <w:smallCaps w:val="0"/>
        </w:rPr>
        <w:t>Drew Christie</w:t>
      </w:r>
    </w:p>
    <w:p>
      <w:pPr>
        <w:pStyle w:val="TOC6"/>
        <w:rPr>
          <w:smallCaps w:val="0"/>
        </w:rPr>
      </w:pPr>
      <w:r>
        <w:rPr>
          <w:i/>
          <w:smallCaps w:val="0"/>
        </w:rPr>
        <w:t>The APA Presidential Addresses, 1991–2000</w:t>
      </w:r>
    </w:p>
    <w:p>
      <w:pPr>
        <w:ind w:left="446"/>
        <w:spacing w:after="60" w:afterAutospacing="0"/>
        <w:pStyle w:val="TOC6"/>
        <w:rPr>
          <w:smallCaps w:val="0"/>
        </w:rPr>
      </w:pPr>
      <w:r>
        <w:rPr>
          <w:smallCaps w:val="0"/>
        </w:rPr>
        <w:tab/>
      </w:r>
      <w:r>
        <w:rPr>
          <w:smallCaps w:val="0"/>
        </w:rPr>
        <w:t>Mark Tschaepe</w:t>
      </w:r>
    </w:p>
    <w:p>
      <w:pPr>
        <w:pStyle w:val="TOC6"/>
        <w:rPr>
          <w:smallCaps w:val="0"/>
        </w:rPr>
      </w:pPr>
      <w:r>
        <w:rPr>
          <w:i/>
          <w:smallCaps w:val="0"/>
        </w:rPr>
        <w:t>Presidential Views on Philosophical Progress</w:t>
      </w:r>
    </w:p>
    <w:p>
      <w:pPr>
        <w:ind w:left="446"/>
        <w:spacing w:after="60" w:afterAutospacing="0"/>
        <w:pStyle w:val="TOC6"/>
        <w:rPr>
          <w:i/>
          <w:smallCaps w:val="0"/>
        </w:rPr>
      </w:pPr>
      <w:r>
        <w:rPr>
          <w:smallCaps w:val="0"/>
        </w:rPr>
        <w:t>Nicholas Rescher</w:t>
      </w:r>
    </w:p>
    <w:p>
      <w:pPr>
        <w:pStyle w:val="TOC6"/>
        <w:rPr>
          <w:smallCaps w:val="0"/>
        </w:rPr>
      </w:pPr>
      <w:r>
        <w:rPr>
          <w:i/>
          <w:smallCaps w:val="0"/>
        </w:rPr>
        <w:t>Philosophy Meets the Sciences</w:t>
      </w:r>
    </w:p>
    <w:p>
      <w:pPr>
        <w:ind w:left="446"/>
        <w:spacing w:after="60" w:afterAutospacing="0"/>
        <w:pStyle w:val="TOC6"/>
        <w:rPr>
          <w:i/>
          <w:smallCaps w:val="0"/>
        </w:rPr>
      </w:pPr>
      <w:r>
        <w:rPr>
          <w:smallCaps w:val="0"/>
        </w:rPr>
        <w:tab/>
      </w:r>
      <w:r>
        <w:rPr>
          <w:smallCaps w:val="0"/>
        </w:rPr>
        <w:t>Tibor Solymosi</w:t>
      </w:r>
    </w:p>
    <w:p>
      <w:pPr>
        <w:pStyle w:val="TOC6"/>
        <w:rPr>
          <w:smallCaps w:val="0"/>
        </w:rPr>
      </w:pPr>
      <w:r>
        <w:rPr>
          <w:i/>
          <w:smallCaps w:val="0"/>
        </w:rPr>
        <w:t>Continental Thought as Speculative Philosophy,1901–1920</w:t>
      </w:r>
    </w:p>
    <w:p>
      <w:pPr>
        <w:ind w:left="446"/>
        <w:spacing w:after="60" w:afterAutospacing="0"/>
        <w:pStyle w:val="TOC6"/>
        <w:rPr>
          <w:smallCaps w:val="0"/>
        </w:rPr>
      </w:pPr>
      <w:r>
        <w:rPr>
          <w:smallCaps w:val="0"/>
        </w:rPr>
        <w:tab/>
      </w:r>
      <w:r>
        <w:rPr>
          <w:smallCaps w:val="0"/>
        </w:rPr>
        <w:t>Cynthia Gayman</w:t>
      </w:r>
    </w:p>
    <w:p>
      <w:pPr>
        <w:pStyle w:val="TOC6"/>
        <w:rPr>
          <w:smallCaps w:val="0"/>
        </w:rPr>
      </w:pPr>
      <w:r>
        <w:rPr>
          <w:i/>
          <w:smallCaps w:val="0"/>
        </w:rPr>
        <w:t>Continental Philosophy: Idealism and Critique,1921–1940</w:t>
      </w:r>
    </w:p>
    <w:p>
      <w:pPr>
        <w:ind w:left="446"/>
        <w:spacing w:after="60" w:afterAutospacing="0"/>
        <w:pStyle w:val="TOC6"/>
        <w:rPr>
          <w:smallCaps w:val="0"/>
        </w:rPr>
      </w:pPr>
      <w:r>
        <w:rPr>
          <w:smallCaps w:val="0"/>
        </w:rPr>
        <w:tab/>
      </w:r>
      <w:r>
        <w:rPr>
          <w:smallCaps w:val="0"/>
        </w:rPr>
        <w:t>Cynthia Gayman</w:t>
      </w:r>
    </w:p>
    <w:p>
      <w:pPr>
        <w:pStyle w:val="TOC6"/>
        <w:rPr>
          <w:smallCaps w:val="0"/>
        </w:rPr>
      </w:pPr>
      <w:r>
        <w:rPr>
          <w:i/>
          <w:smallCaps w:val="0"/>
        </w:rPr>
        <w:t>Continental Philosophy: Historicism in Contexts,1941–1960</w:t>
      </w:r>
    </w:p>
    <w:p>
      <w:pPr>
        <w:ind w:left="446"/>
        <w:spacing w:after="60" w:afterAutospacing="0"/>
        <w:pStyle w:val="TOC6"/>
        <w:rPr>
          <w:i/>
          <w:smallCaps w:val="0"/>
        </w:rPr>
      </w:pPr>
      <w:r>
        <w:rPr>
          <w:smallCaps w:val="0"/>
        </w:rPr>
        <w:tab/>
      </w:r>
      <w:r>
        <w:rPr>
          <w:smallCaps w:val="0"/>
        </w:rPr>
        <w:t>Cynthia Gayman</w:t>
      </w:r>
    </w:p>
    <w:p>
      <w:pPr>
        <w:pStyle w:val="TOC6"/>
        <w:rPr>
          <w:smallCaps w:val="0"/>
        </w:rPr>
      </w:pPr>
      <w:r>
        <w:rPr>
          <w:i/>
          <w:smallCaps w:val="0"/>
        </w:rPr>
        <w:t>Continental Philosophy: Further Speculation on the</w:t>
      </w:r>
      <w:r>
        <w:rPr>
          <w:smallCaps w:val="0"/>
        </w:rPr>
        <w:t xml:space="preserve"> </w:t>
      </w:r>
      <w:r>
        <w:rPr>
          <w:i/>
          <w:smallCaps w:val="0"/>
        </w:rPr>
        <w:t>Life-World, 1961–2000</w:t>
      </w:r>
    </w:p>
    <w:p>
      <w:pPr>
        <w:ind w:left="446"/>
        <w:spacing w:after="60" w:afterAutospacing="0"/>
        <w:pStyle w:val="TOC6"/>
        <w:rPr>
          <w:i/>
          <w:smallCaps w:val="0"/>
        </w:rPr>
      </w:pPr>
      <w:r>
        <w:rPr>
          <w:smallCaps w:val="0"/>
        </w:rPr>
        <w:t>Cynthia Gayman</w:t>
      </w:r>
    </w:p>
    <w:p>
      <w:pPr>
        <w:pStyle w:val="TOC6"/>
        <w:rPr>
          <w:smallCaps w:val="0"/>
        </w:rPr>
      </w:pPr>
      <w:r>
        <w:rPr>
          <w:i/>
          <w:smallCaps w:val="0"/>
        </w:rPr>
        <w:t>Democracy and Justice: Political and Legal Thought</w:t>
      </w:r>
    </w:p>
    <w:p>
      <w:pPr>
        <w:ind w:left="446"/>
        <w:spacing w:after="60" w:afterAutospacing="0"/>
        <w:pStyle w:val="TOC6"/>
        <w:rPr>
          <w:smallCaps w:val="0"/>
        </w:rPr>
      </w:pPr>
      <w:r>
        <w:rPr>
          <w:smallCaps w:val="0"/>
        </w:rPr>
        <w:t>Brian E. Butler</w:t>
      </w:r>
    </w:p>
    <w:p>
      <w:pPr>
        <w:pStyle w:val="TOC6"/>
        <w:rPr>
          <w:smallCaps w:val="0"/>
        </w:rPr>
      </w:pPr>
      <w:r>
        <w:rPr>
          <w:i/>
          <w:smallCaps w:val="0"/>
        </w:rPr>
        <w:t>One Hundred Years of American Ethics: Pluralistic, Pragmatic Coherence</w:t>
      </w:r>
    </w:p>
    <w:p>
      <w:pPr>
        <w:ind w:left="446"/>
        <w:spacing w:after="60" w:afterAutospacing="0"/>
        <w:pStyle w:val="TOC6"/>
        <w:rPr>
          <w:smallCaps w:val="0"/>
        </w:rPr>
      </w:pPr>
      <w:r>
        <w:rPr>
          <w:smallCaps w:val="0"/>
        </w:rPr>
        <w:tab/>
      </w:r>
      <w:r>
        <w:rPr>
          <w:smallCaps w:val="0"/>
        </w:rPr>
        <w:t>Nancy A. Stanlick</w:t>
      </w:r>
    </w:p>
    <w:p>
      <w:pPr>
        <w:pStyle w:val="TOC6"/>
        <w:rPr>
          <w:smallCaps w:val="0"/>
        </w:rPr>
      </w:pPr>
      <w:r>
        <w:rPr>
          <w:i/>
          <w:smallCaps w:val="0"/>
        </w:rPr>
        <w:t>The Problem of Beauty: Aesthetics in The APA</w:t>
      </w:r>
      <w:r>
        <w:rPr>
          <w:smallCaps w:val="0"/>
        </w:rPr>
        <w:t xml:space="preserve"> </w:t>
      </w:r>
      <w:r>
        <w:rPr>
          <w:i/>
          <w:smallCaps w:val="0"/>
        </w:rPr>
        <w:t>Addresses</w:t>
      </w:r>
    </w:p>
    <w:p>
      <w:pPr>
        <w:ind w:left="446"/>
        <w:spacing w:after="60" w:afterAutospacing="0"/>
        <w:pStyle w:val="TOC6"/>
        <w:rPr>
          <w:smallCaps w:val="0"/>
        </w:rPr>
      </w:pPr>
      <w:r>
        <w:rPr>
          <w:smallCaps w:val="0"/>
        </w:rPr>
        <w:tab/>
      </w:r>
      <w:r>
        <w:rPr>
          <w:smallCaps w:val="0"/>
        </w:rPr>
        <w:t>Russell Pryba</w:t>
      </w:r>
    </w:p>
    <w:p>
      <w:pPr>
        <w:spacing w:after="60" w:afterAutospacing="0"/>
        <w:pStyle w:val="TOC6"/>
      </w:pPr>
      <w:r>
        <w:t>Appendix:</w:t>
        <w:br w:type="textWrapping"/>
        <w:t>20th Century Presidential Addresses of The APA</w:t>
      </w:r>
    </w:p>
    <w:p>
      <w:pPr>
        <w:spacing w:after="60" w:afterAutospacing="0"/>
        <w:pStyle w:val="TOC6"/>
      </w:pPr>
      <w:r>
        <w:t>About the Contributors</w:t>
      </w:r>
    </w:p>
    <w:p>
      <w:pPr>
        <w:spacing w:after="60" w:afterAutospacing="0"/>
        <w:pStyle w:val="TOC6"/>
      </w:pPr>
      <w:r>
        <w:t>Name Index</w:t>
      </w:r>
    </w:p>
    <w:p>
      <w:pPr>
        <w:pStyle w:val="TOC6"/>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7" Type="http://schemas.openxmlformats.org/officeDocument/2006/relationships/header" Target="header4.xml" r:id="rId7"/>
        </w:sectPr>
      </w:pPr>
      <w:r>
        <w:t>Subject Index</w:t>
      </w:r>
    </w:p>
    <w:p>
      <w:pPr>
        <w:pStyle w:val="Heading1"/>
      </w:pPr>
      <w:r/>
      <w:bookmarkStart w:id="17" w:name="EDITORIAL_FOREWORD"/>
      <w:r>
        <w:t>EDITORIAL FOREWORD</w:t>
      </w:r>
      <w:bookmarkEnd w:id="17"/>
    </w:p>
    <w:p>
      <w:pPr>
        <w:spacing w:after="160" w:afterAutospacing="0"/>
        <w:jc w:val="center"/>
        <w:rPr>
          <w:rFonts w:ascii="Times New Roman" w:hAnsi="Times New Roman" w:eastAsia="Times New Roman"/>
          <w:sz w:val="20"/>
          <w:color w:val="auto"/>
        </w:rPr>
      </w:pPr>
      <w:r>
        <w:rPr>
          <w:rFonts w:ascii="Times New Roman" w:hAnsi="Times New Roman" w:eastAsia="Times New Roman"/>
          <w:sz w:val="20"/>
          <w:color w:val="auto"/>
        </w:rPr>
        <w:t>Richard T. Hull</w:t>
      </w:r>
    </w:p>
    <w:p>
      <w:pPr>
        <w:jc w:val="both"/>
        <w:tabs>
          <w:tab w:val="left" w:pos="820" w:leader="none"/>
        </w:tabs>
        <w:rPr>
          <w:rFonts w:ascii="Times New Roman" w:hAnsi="Times New Roman" w:eastAsia="Times New Roman"/>
          <w:sz w:val="20"/>
          <w:color w:val="auto"/>
        </w:rPr>
      </w:pPr>
      <w:r>
        <w:rPr>
          <w:rFonts w:ascii="Times New Roman" w:hAnsi="Times New Roman" w:eastAsia="Times New Roman"/>
          <w:sz w:val="20"/>
          <w:color w:val="auto"/>
        </w:rPr>
        <w:t>James Edwin Creighton (1901–1902), one of the founders of The APA, asserted in “The Purposes of a Philosophical Association,” delivered to the first annual meeting of the American Philosophical Association, at Columbia University, in March 1902, “an association can . . . prove a stimulus to the forces which are essential for progress in philosophical work” (1:30). Unlike John Dewey (1905–1006), who asserted, “pure knowing is alone solitary, and capable of being carried on in complete, self-sufficing independence,”</w:t>
      </w:r>
      <w:r>
        <w:rPr>
          <w:rFonts w:ascii="Times New Roman" w:hAnsi="Times New Roman" w:eastAsia="Times New Roman"/>
          <w:sz w:val="20"/>
          <w:rStyle w:val="EndnoteReference"/>
          <w:color w:val="auto"/>
        </w:rPr>
        <w:endnoteReference w:id="2"/>
      </w:r>
      <w:r>
        <w:rPr>
          <w:rFonts w:ascii="Times New Roman" w:hAnsi="Times New Roman" w:eastAsia="Times New Roman"/>
          <w:sz w:val="20"/>
          <w:color w:val="auto"/>
        </w:rPr>
        <w:t xml:space="preserve"> Creighton asserted that doing philosophy doesn’t happen in a vacuum; it is no longer done by individuals cogitating in solitary stillness—if ever it was—but by thinkers working in collaboration and informed by the thoughts of others. Given the globalization of intellectual activities and the historical expanse of the body of work with which they resonate, philosophers need to be able to read works that connect them with their colleagues across space and time.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presidential addresses of any philosophical association are a vital part of that intellectual interaction. Sadly, papers of philosophical associations, valuable as they are, are typically distributed, if at all, in cheaply reproduced form, most copies of which are discarded by their recipients on the way to the nearest bar. Those few that survive such dismissive treatment typically languish in boxes stored by well-intentioned members of the society who have vague thoughts of putting them together in some compilation—some day—when they their other academic obligations are less time-consuming.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the hope that your “some day” is realized one day, I have decided to take the opportunity afforded to me by this, my eleventh and final Editorial Foreword of the Centennial Series, to relate how I produced the series as something of a guide to those well-intentioned future historiographers. It’s meant to shed a light on the path in order to help you to move those valuable papers out of those boxes and into the public forum where others can benefit from the wisdom embodied in their content.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the early 1990s, Robert Ginsberg, Professor Emeritus of Philosophy &amp; Comparative Literature at Penn State Delaware County, and then President of the American Society for Value Inquiry, approached me about a way to commemorate the first quarter century since its establishment. The history of the Society had already been published,</w:t>
      </w:r>
      <w:r>
        <w:rPr>
          <w:rFonts w:ascii="Times New Roman" w:hAnsi="Times New Roman" w:eastAsia="Times New Roman"/>
          <w:sz w:val="20"/>
          <w:rStyle w:val="EndnoteReference"/>
          <w:color w:val="auto"/>
        </w:rPr>
        <w:endnoteReference w:id="3"/>
      </w:r>
      <w:r>
        <w:rPr>
          <w:rFonts w:ascii="Times New Roman" w:hAnsi="Times New Roman" w:eastAsia="Times New Roman"/>
          <w:sz w:val="20"/>
          <w:color w:val="auto"/>
        </w:rPr>
        <w:t xml:space="preserve"> but no comprehensive archive of their presidential addresses existed. Bob suggested that I collect and publish the addresses in a single volume. I did so, adding to each address a biographical sketch and photo of the past president. The result of that effort was </w:t>
      </w:r>
      <w:r>
        <w:rPr>
          <w:rFonts w:ascii="Times New Roman" w:hAnsi="Times New Roman" w:eastAsia="Times New Roman"/>
          <w:sz w:val="20"/>
          <w:i/>
          <w:color w:val="auto"/>
        </w:rPr>
        <w:t>A Quarter Century of Value Inquiry</w:t>
      </w:r>
      <w:r>
        <w:rPr>
          <w:rFonts w:ascii="Times New Roman" w:hAnsi="Times New Roman" w:eastAsia="Times New Roman"/>
          <w:sz w:val="20"/>
          <w:color w:val="auto"/>
        </w:rPr>
        <w:t>,</w:t>
      </w:r>
      <w:r>
        <w:rPr>
          <w:rFonts w:ascii="Times New Roman" w:hAnsi="Times New Roman" w:eastAsia="Times New Roman"/>
          <w:sz w:val="20"/>
          <w:rStyle w:val="EndnoteReference"/>
          <w:color w:val="auto"/>
        </w:rPr>
        <w:endnoteReference w:id="4"/>
      </w:r>
      <w:r>
        <w:rPr>
          <w:rFonts w:ascii="Times New Roman" w:hAnsi="Times New Roman" w:eastAsia="Times New Roman"/>
          <w:sz w:val="20"/>
          <w:color w:val="auto"/>
        </w:rPr>
        <w:t xml:space="preserve"> which established the format I and others would follow in other volumes developed for a series that became Histories and Addresses of Philosophical Societies (HAPS), a special series under the auspices of the Value Inquiry Book Series (VIBS), published by Rodopi (now Brill). I became the HAPS Special Series Editor, and, to date, HAPS, which is now co-sponsored by the Conference of Philosophical Societies, has published seven additional volumes.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After completing work on </w:t>
      </w:r>
      <w:r>
        <w:rPr>
          <w:rFonts w:ascii="Times New Roman" w:hAnsi="Times New Roman" w:eastAsia="Times New Roman"/>
          <w:sz w:val="20"/>
          <w:i/>
          <w:color w:val="auto"/>
        </w:rPr>
        <w:t>A Quarter Century of Value Inquiry</w:t>
      </w:r>
      <w:r>
        <w:rPr>
          <w:rFonts w:ascii="Times New Roman" w:hAnsi="Times New Roman" w:eastAsia="Times New Roman"/>
          <w:sz w:val="20"/>
          <w:color w:val="auto"/>
        </w:rPr>
        <w:t xml:space="preserve">, I conceived the idea to similarly collect the addresses, photographs, and biographical sketches of the individuals who have served as presidents of the three divisions of The American Philosophical Association (APA) on the occasion of their centennial, which they would celebrate in 2000.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 had no particular credentials for doing such historiography other than having just edited the first HAPS volume. But I did have a strong belief that the addresses of philosophical organizations are important records that should be formally preserved as a significant part of the organization’s history. So, armed with minimal experience but strong belief, I put my proposal to Eric Hoffman, then Executive Director of The APA, that I compile and edit the entire 100 years of its presidential addresses. Happily, he disclosed that The APA was, indeed, looking for ways to commemorate its centennial and he liked my idea. I was surprised, but before long, I was duly authorized to start the project. The boards of the three divisions charged Philip Lawrence Quinn, John A. O’Brien Professor of University of Notre Dame, who served for many years as president of the Central Division and then also as president of The APA (1994–1995),</w:t>
      </w:r>
      <w:r>
        <w:rPr>
          <w:rFonts w:ascii="Times New Roman" w:hAnsi="Times New Roman" w:eastAsia="Times New Roman"/>
          <w:sz w:val="20"/>
          <w:rStyle w:val="EndnoteReference"/>
          <w:color w:val="auto"/>
        </w:rPr>
        <w:endnoteReference w:id="5"/>
      </w:r>
      <w:r>
        <w:rPr>
          <w:rFonts w:ascii="Times New Roman" w:hAnsi="Times New Roman" w:eastAsia="Times New Roman"/>
          <w:sz w:val="20"/>
          <w:color w:val="auto"/>
        </w:rPr>
        <w:t xml:space="preserve"> and Ernest Sosa, then of Brown University who went on to serve as a president of The APA (2004–2005) to supervise my work. The APA awarded me a grant of $30,000 to cover initial production expenses. What I at first envisioned to be the biggest obstacle to the project, quickly faded into its role as the easiest aspect of it in light of what lay ahead!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Once committed to doing the Centennial Series and obtaining the support of The APA, I encountered several other major obstacles. I soon discovered that, as is the case with many such organizations, not even a complete or accurate list of the presidents, their years of tenure, or the titles of their addresses, was readily available. The reconstruction of such a list from the minutes of the Association and other references and records led to a number of puzzles and mysteries, the resolution of which occupied my efforts for some three years. Discussion of these can be found in the Editorial Forewords of each of the ten volumes.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Keep in mind, this was a time before the journal </w:t>
      </w:r>
      <w:r>
        <w:rPr>
          <w:rFonts w:ascii="Times New Roman" w:hAnsi="Times New Roman" w:eastAsia="Times New Roman"/>
          <w:sz w:val="20"/>
          <w:i/>
          <w:color w:val="auto"/>
        </w:rPr>
        <w:t>Proceedings and Addresses of the American Philosophical Association</w:t>
      </w:r>
      <w:r>
        <w:rPr>
          <w:rFonts w:ascii="Times New Roman" w:hAnsi="Times New Roman" w:eastAsia="Times New Roman"/>
          <w:sz w:val="20"/>
          <w:color w:val="auto"/>
        </w:rPr>
        <w:t xml:space="preserve">, not even published until 1927, was archived in JSTOR for convenient access. Not all the addresses were published in the </w:t>
      </w:r>
      <w:r>
        <w:rPr>
          <w:rFonts w:ascii="Times New Roman" w:hAnsi="Times New Roman" w:eastAsia="Times New Roman"/>
          <w:sz w:val="20"/>
          <w:i/>
          <w:color w:val="auto"/>
        </w:rPr>
        <w:t>Proceedings</w:t>
      </w:r>
      <w:r>
        <w:rPr>
          <w:rFonts w:ascii="Times New Roman" w:hAnsi="Times New Roman" w:eastAsia="Times New Roman"/>
          <w:sz w:val="20"/>
          <w:color w:val="auto"/>
        </w:rPr>
        <w:t xml:space="preserve">, or </w:t>
      </w:r>
      <w:r>
        <w:rPr>
          <w:rFonts w:ascii="Times New Roman" w:hAnsi="Times New Roman" w:eastAsia="Times New Roman"/>
          <w:sz w:val="20"/>
          <w:i/>
          <w:color w:val="auto"/>
        </w:rPr>
        <w:t>The Philosophical Review</w:t>
      </w:r>
      <w:r>
        <w:rPr>
          <w:rFonts w:ascii="Times New Roman" w:hAnsi="Times New Roman" w:eastAsia="Times New Roman"/>
          <w:sz w:val="20"/>
          <w:color w:val="auto"/>
        </w:rPr>
        <w:t xml:space="preserve"> before that, or even now. After much research, we eventually found some in private collections or university archives, never having been previously published. In some cases, presidents elected had been unable to serve, and thus gave no addresses at all. In those cases, we searched for writings that were representative of those presidents’ thoughts at the time. One notable case deserves special mention. David Benjamin Kaplan (1980–1981) delivered “</w:t>
      </w:r>
      <w:r>
        <w:rPr>
          <w:rFonts w:ascii="Times New Roman" w:hAnsi="Times New Roman" w:eastAsia="Times New Roman"/>
          <w:sz w:val="20"/>
          <w:i/>
          <w:color w:val="auto"/>
        </w:rPr>
        <w:t>De Re</w:t>
      </w:r>
      <w:r>
        <w:rPr>
          <w:rFonts w:ascii="Times New Roman" w:hAnsi="Times New Roman" w:eastAsia="Times New Roman"/>
          <w:sz w:val="20"/>
          <w:color w:val="auto"/>
        </w:rPr>
        <w:t xml:space="preserve"> Belief” extemporaneously to the Pacific Division of The APA, in Portland, Oregon, and it had not been previously published. In support of the project, he generously wrote out his paper for this publication in 2000 from memory, two decades after first delivering it in March 1981!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Even addresses that had been published presented many editorial problems. They had been published primarily as transcription of the spoken word, spoken by presidents who had a variety of mother tongues informing their English presentations; the print publications had little editorial effort devoted to standardizing even punctuation and grammar, which did not enjoy the same consistency at the start of the twentieth century as it does now (</w:t>
      </w:r>
      <w:r>
        <w:rPr>
          <w:rFonts w:ascii="Times New Roman" w:hAnsi="Times New Roman" w:eastAsia="Times New Roman"/>
          <w:sz w:val="20"/>
          <w:i/>
          <w:color w:val="auto"/>
        </w:rPr>
        <w:t>if</w:t>
      </w:r>
      <w:r>
        <w:rPr>
          <w:rFonts w:ascii="Times New Roman" w:hAnsi="Times New Roman" w:eastAsia="Times New Roman"/>
          <w:sz w:val="20"/>
          <w:color w:val="auto"/>
        </w:rPr>
        <w:t xml:space="preserve"> it does now!). Moreover, addresses given to contemporaries seldom required that the speakers supply full names, titles, or even sources for their citations or allusions, since most listeners were intimately familiar with the subject matter and the philosophers being discussed; authors who slipped into languages other than English, especially German during the earliest years, most likely also had listeners who shared their fluency.</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As philosophy has changed focus over time, so has the language of philosophy. Paul Marhenke (1949–1950) asserted that to be “significant, we require that [a sentence] be translatable into the ordinary idiom” (5:513).</w:t>
      </w:r>
      <w:r>
        <w:rPr>
          <w:rFonts w:ascii="Times New Roman" w:hAnsi="Times New Roman" w:eastAsia="Times New Roman"/>
          <w:sz w:val="20"/>
          <w:rStyle w:val="EndnoteReference"/>
          <w:color w:val="auto"/>
        </w:rPr>
        <w:endnoteReference w:id="6"/>
      </w:r>
      <w:r>
        <w:rPr>
          <w:rFonts w:ascii="Times New Roman" w:hAnsi="Times New Roman" w:eastAsia="Times New Roman"/>
          <w:sz w:val="20"/>
          <w:color w:val="auto"/>
        </w:rPr>
        <w:t xml:space="preserve"> This could well have been his prescient admonishment that to remain significant, philosophers should give up esoteric language that would become increasingly incomprehensible to future generations. In keeping with that dictum, I have put the matter in ordinary language elsewhere, which bears repeating: “</w:t>
      </w:r>
      <w:r>
        <w:rPr>
          <w:rFonts w:ascii="TimesNewRoman" w:hAnsi="TimesNewRoman" w:eastAsia="TimesNewRoman"/>
          <w:sz w:val="20"/>
          <w:color w:val="auto"/>
        </w:rPr>
        <w:t>Make reading your writing easy so that the reader may give full thought to your thinking.”</w:t>
      </w:r>
      <w:r>
        <w:rPr>
          <w:rFonts w:ascii="TimesNewRoman" w:hAnsi="TimesNewRoman" w:eastAsia="TimesNewRoman"/>
          <w:sz w:val="20"/>
          <w:rStyle w:val="EndnoteReference"/>
          <w:color w:val="auto"/>
        </w:rPr>
        <w:endnoteReference w:id="7"/>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Nonetheless, listeners at the beginning of the twentieth century were far more familiar with esoteric language styles in vogue at the time than are contemporary readers. Thus, for these volumes to be informative to contemporary academics and instructional to scholars over and above being mere transcriptions of the words as spoken at the time they were delivered, we endeavored to “fill in the blanks” for new generations of readers who could be expected to struggle with the same presentations that their intellectual progenitors easily understood. From a purely editorial standpoint, we faced many foreign phrases and titles that needed translation, incomplete citations, citations that pointed to publications no longer in print (for which we attempted to find the same works in more recent publications), ambiguous references to persons and events, quotations given without sources, and outright misquotations.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 wonderful illustrative case in this regard is “Recent Poets on Man and His Place,” delivered by Katharine Everett Gilbert (1946–1947),</w:t>
      </w:r>
      <w:r>
        <w:rPr>
          <w:rFonts w:ascii="Times New Roman" w:hAnsi="Times New Roman" w:eastAsia="Times New Roman"/>
          <w:sz w:val="20"/>
          <w:rStyle w:val="EndnoteReference"/>
          <w:color w:val="auto"/>
        </w:rPr>
        <w:endnoteReference w:id="8"/>
      </w:r>
      <w:r>
        <w:rPr>
          <w:rFonts w:ascii="Times New Roman" w:hAnsi="Times New Roman" w:eastAsia="Times New Roman"/>
          <w:sz w:val="20"/>
          <w:color w:val="auto"/>
        </w:rPr>
        <w:t xml:space="preserve"> for which we dug up sources for dozens of unattributed snippets of poetry and many publication details for incomplete citations. While the address remains a vivid exposition as it was delivered, we hoped that easy access to the full poems and other sources Gilbert cited would serve as an enriched source for scholars studying Gilbert and the concepts she discussed.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many cases, photographs, life facts, dates of birth and death, and even some addresses themselves were missing from any public records. One of the most challenging conundrums in this category concerned the very title of the address delivered by Albert Ross Hill (1904–1905), which was reported variously in two different publications by two different titles. But a transcript of the address was never found. Finally, I resorted to using parts of two different papers Hill had written on the same topic as his address.</w:t>
      </w:r>
      <w:r>
        <w:rPr>
          <w:rFonts w:ascii="Times New Roman" w:hAnsi="Times New Roman" w:eastAsia="Times New Roman"/>
          <w:sz w:val="20"/>
          <w:rStyle w:val="EndnoteReference"/>
          <w:color w:val="auto"/>
        </w:rPr>
        <w:endnoteReference w:id="9"/>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Again, researching such details was no easy matter in the days before electronic access to a myriad of electronic library archives and nearly instantaneous contact with people who could source quotes or otherwise provide data via the Internet and e-mail. Obviously, over time, some of our research activity got easier. We benefited from an increasing amount of biographical data becoming easily accessible online. Easier too was directly communicating with the still living philosophers or their family members to clarify passages in the addresses and complete biographical sketches. We progressed from having to send out letters via traditional mail services in hopes of getting some reply after weeks or months, to being able to easily use e-mail to reach authors very quickly and efficiently. Thus, as another gem of advice to future historiographers, I will state emphatically that in this age of technology and fully populated databases, with even digital images of ancient documents available at our fingertips, no longer do we have any valid excuses for anything less than accurate citations and quotations or for proceeding without proper attributions and copyright permissions.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Fortunately, today, most universities and colleges also have paid staff positions for archivists who are charged with preserving data about the members of their faculties who achieve notability in their professions. Usually such institutions have a news bureau photographer charged with portraying faculty members who have achieved professional recognition. Those archivists and the materials they collect formed the base and bulk of the data upon which I drew for most of the volumes. But many photos remained missing; finding images constituted a main research challenges for the series. In one case, I had to find three contemporaneous photos for one past president that had served multiple times. In another case, we used a photograph of a formal portrait provided by an historical library. While arguably the most frustrating, the search for biographical data and photographs, especially when I had to rely on idiosyncratic sources, was undoubtedly the most interesting as well. Our sources included relatives and former students of deceased past presidents, death records, newspaper and magazine stories, US Census data, the now famous ancestry.com, many hours of devoted research by a genealogist who befriended us via the Internet, and some dusty searches through cardboard boxes stashed in attics. We included the sources for all the biographical data we used—again, as a way to instruct future historiographers about places to start their hunts as well as to provide proper attribution of our sources. As well, to be able to use the photos that we were able to obtain, cropping out others from group shots and restoring creased and crumbled snapshots was necessary—another benefit made possible by the advance of technology over the time as we worked on the Series. Thus, as Drew Christie, in his contribution to this volume, “Philosophers during the Last Decade of the Cold War, the 1980s,</w:t>
      </w:r>
      <w:r>
        <w:rPr>
          <w:rFonts w:ascii="Times New Roman" w:hAnsi="Times New Roman" w:eastAsia="Times New Roman"/>
          <w:sz w:val="20"/>
          <w:rStyle w:val="EndnoteReference"/>
          <w:color w:val="auto"/>
        </w:rPr>
        <w:endnoteReference w:id="10"/>
      </w:r>
      <w:r>
        <w:rPr>
          <w:rFonts w:ascii="Times New Roman" w:hAnsi="Times New Roman" w:eastAsia="Times New Roman"/>
          <w:sz w:val="20"/>
          <w:color w:val="auto"/>
        </w:rPr>
        <w:t xml:space="preserve"> reviewed the changes in philosophy that resulted from the advance of computer technology, so the advance of computer technology changed how the history of that philosophy is compiled and reported.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As the Acknowledgments in each of the ten volumes attest, our efforts required the assistance of hundreds of individuals who gladly offered their knowledge and their time to get the job done. More advice to future historiographers: never underestimate the potential services of your siblings, children, classmates of your children, parents of those classmates, your former students, your in-laws, and even total strangers you may meet online. Moreover, we found the still-living subjects of the Series to be gratified to have their work revisited.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So, don’t hesitate to reach out: the world abounds with people whose generosity is immeasurable and who have amassed an astounding fund of knowledge that they are willing, even anxious, to share. It’s there for the asking. Asking widens the circle of our philosophical interaction; it instructs others in the principles of intellectual and academic scholarship, it might even encourage someone to join in the process of “doing philosophy,” and it offers others the opportunity to feel appreciated. Reciprocally, express your gratitude and pay their kindnesses forward. We have gained far more from producing this series than merely documenting the addresses!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After getting the volumes written, getting the project published was the second major obstacle. While HAPS was established as a series to publish histories of philosophical societies, Rodopi envisioned it to be a series mostly of single volumes with an occasional two-volume celebration. The APA Centennial Series would require at least ten volumes and require a multi-year commitment on the part of a publisher. Hence, Rodopi declined the proposal; I had to research other possible publishing options. Publishers in the United States that I contacted didn’t want any part of the project without a guarantee of sales of so many copies, or a substantial cash subvention against royalties. Such was not particularly surprising, as publishers routinely reject proposals that portend financial loss—those destined not to make back at least their initial investment. While academics supposedly write not for profit but for professional communication, publishers must pay attention to the bottom line to stay in business.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Moreover, at the time I was doing publisher shopping, many of the biographies had not yet been completed and many addresses, such as Hill’s, still hadn’t been located. I had barely begun finding the photographs that we intended to publish, and obtaining them meant also obtaining another 300 copyright permissions to publish them once we found them. In short, I had big plans, grand intentions, and admirable commitment, but absolutely no collateral to offer publishers to guarantee I could produce the series as proposed. I seemed a poor bet, indeed!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Finally, with the able assistance of Sosa and Quinn, a contract was negotiated with Kluwer Academic Publishers, which published the first editions of the first four volumes of the series, but which pulled out for a couple of justifiable, but frustrating reasons: Ours was a niche market with low projected sales. Since Kluwer is based in The Netherlands, ours was considered a “foreign” publication. Kluwer’s costs for marketing in the United States were relatively high, and their European markets were narrow. I found myself publisher shopping again.</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During my tenure as Professor of Philosophy at the State University of New York at Buffalo, I had become personally familiar with Paul Kurtz (the “father of secular humanism”), who had founded Prometheus Books publishing house in 1969. He was able to arrange for Prometheus to publish Volumes 5 and 6. Unfortunately, the costs of warehousing books had impacted on the industry to the extent that those bound volumes—physical quality of the paper, print resolution of the photos, and the front matter and cover design—were, in my opinion, less than ideal. At the same time, seeking resolution of those issues was impracticable because poor projected sales had again become a factor. Ultimately, we had a parting of the ways, and I was, once again, publisher shopping. Before continuing with how I resolved this issue, I will offer another crucial piece of advice: always insist on a prepublication copy of any print version of your work prior to committing to a publisher/printer. Get the details of the print quality that you expect memorialized in your publishing/printing contract.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Finally, I was able to negotiate with Prometheus a return of all copyrights to previous volumes, clearing the way for me to self-publish the entire series, with updated and revised versions of the earlier volumes and completing Volumes 7 through 11. That was the point at which we also switched from warehousing volumes to a print-on-demand model for hard-bound copies, and adding electronic versions for e-book readers to the offering.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benefits and detriments of self-publishing would require discussion beyond the space constraints of this essay. Suffice it to say, however, that these final changes to the media and the marketing model, made possible by technological advances not readily available when we started, made copies far more affordable and virtually eliminated the issue of projected sales.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For every problem resolved though, another arises as a consequence of the resolution. For the Centennial Series, after I took the leap to self-publish, I faced the new problem of marketing and distribution; sustainability of distribution without personally becoming a distributor was an important issue. To meet that need, the Philosophy Documentation Center (</w:t>
        <w:fldChar w:fldCharType="begin"/>
        <w:instrText xml:space="preserve"> HYPERLINK "https://www.pdcnet.org/wp/" </w:instrText>
        <w:fldChar w:fldCharType="separate"/>
      </w:r>
      <w:r>
        <w:rPr>
          <w:rFonts w:ascii="Times New Roman" w:hAnsi="Times New Roman" w:eastAsia="Times New Roman"/>
          <w:sz w:val="20"/>
          <w:color w:val="0000FF"/>
          <w:u w:val="single"/>
        </w:rPr>
        <w:t>https://www.pdcnet.org/wp/</w:t>
        <w:fldChar w:fldCharType="end"/>
      </w:r>
      <w:r>
        <w:rPr>
          <w:rFonts w:ascii="Times New Roman" w:hAnsi="Times New Roman" w:eastAsia="Times New Roman"/>
          <w:sz w:val="20"/>
          <w:color w:val="auto"/>
        </w:rPr>
        <w:t>) has stepped in to make the entire series available in print and electronic versions.</w:t>
      </w:r>
      <w:r>
        <w:rPr>
          <w:rFonts w:ascii="Times New Roman" w:hAnsi="Times New Roman" w:eastAsia="Times New Roman"/>
          <w:sz w:val="20"/>
          <w:rStyle w:val="EndnoteReference"/>
          <w:color w:val="auto"/>
        </w:rPr>
        <w:endnoteReference w:id="11"/>
      </w:r>
      <w:r>
        <w:rPr>
          <w:rFonts w:ascii="Times New Roman" w:hAnsi="Times New Roman" w:eastAsia="Times New Roman"/>
          <w:sz w:val="20"/>
          <w:color w:val="auto"/>
        </w:rPr>
        <w:t xml:space="preserv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After addressing the historiographical research, editorial, and publication issues, we come full circle, back to addressing why anyone should willingly volunteer for such torture, the results of which will probably not advance careers much and most certainly won’t advance one’s financial wealth. In reply, I will reiterate that doing the historiography of philosophy helps to preserve the body of knowledge that we, as a profession, have endeavored to create (or created as we endeavored to think). We can best plan where we’re going if we have a clear idea of where we’ve been. We can better learn how our predecessors’ ideas can inform today’s thoughts if we remain better informed about what their ideas were.</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What we’ve done in offering this series (and I say “we” because I could never have done it alone), is to strive to preserve that body of knowledge and make it readily available for scholarly research. Each address serves as a snapshot in time, of what was going on in philosophy at that time, of what that particular philosopher had in mind at that time, often of what was going on in the larger world while academics were busy going about “doing philosophy.” Each of the bibliographies included with every address offers a plethora of resources for readers to consult if they wish to further explore the topics, to walk the path the authors walked as they came to that point in their intellectual lives.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Creighton was wise: the philosophy we do isn’t done in a vacuum. We are the products of our life experiences; our philosophical inquiry is intricately entwined with our personal identity, with others with whom we’ve associated, with those under whom we’ve studied, and what we experienced along the way. By providing the biographies along with the addresses, we make it possible to trace a philosophical genealogy that has informed the addresses. How readers use the information they read will be influenced by who they are, and who they are, we hope, will be influenced by what they read.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To conclude, I offer the Centennial Series as a sort of philosophical time capsule that reveals to the future what our first 100 years of American philosophy was like, and as an incentive to our intellectual progeny to enjoy an even more fruitful second 100 years. None of us reading this now will be around to see how the second 100 years will have shaped up, but I sincerely hope that this series will have helped to inform those who are.</w:t>
      </w:r>
    </w:p>
    <w:p>
      <w:pPr>
        <w:spacing w:before="60" w:beforeAutospacing="0"/>
        <w:jc w:val="both"/>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rFonts w:ascii="Times New Roman" w:hAnsi="Times New Roman" w:eastAsia="Times New Roman"/>
          <w:sz w:val="18"/>
          <w:color w:val="auto"/>
        </w:rPr>
      </w:pPr>
      <w:r>
        <w:rPr>
          <w:rFonts w:ascii="Times New Roman" w:hAnsi="Times New Roman" w:eastAsia="Times New Roman"/>
          <w:sz w:val="18"/>
          <w:color w:val="0000FF"/>
          <w:u w:val="single"/>
        </w:rPr>
        <w:fldChar w:fldCharType="begin"/>
        <w:instrText xml:space="preserve"> HYPERLINK \l "TABLE_OF_CONTENTS" </w:instrText>
        <w:fldChar w:fldCharType="separate"/>
      </w:r>
      <w:r>
        <w:rPr>
          <w:rFonts w:ascii="Times New Roman" w:hAnsi="Times New Roman" w:eastAsia="Times New Roman"/>
          <w:sz w:val="18"/>
          <w:color w:val="0000FF"/>
          <w:u w:val="single"/>
        </w:rPr>
        <w:t>Return to TOC</w:t>
        <w:fldChar w:fldCharType="end"/>
      </w:r>
    </w:p>
    <w:p>
      <w:pPr>
        <w:spacing w:after="100" w:afterAutospacing="0"/>
        <w:jc w:val="center"/>
        <w:rPr>
          <w:rFonts w:ascii="Times New Roman" w:hAnsi="Times New Roman" w:eastAsia="Times New Roman"/>
          <w:sz w:val="22"/>
        </w:rPr>
      </w:pPr>
    </w:p>
    <w:p>
      <w:pPr>
        <w:pStyle w:val="Heading1"/>
      </w:pPr>
      <w:r/>
      <w:bookmarkStart w:id="30" w:name="CHRONOLOGY_OF_THE_APA"/>
      <w:r/>
      <w:bookmarkEnd w:id="30"/>
      <w:r>
        <w:t>CHRONOLOGY OF THE APA</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1900–1901: First year of the Western Philosophical Association</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1901–1902: First year of the American Philosophical Association</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 xml:space="preserve">1920–1921: American and Western Philosophical Associations merge, forming </w:t>
      </w:r>
      <w:r>
        <w:rPr>
          <w:rFonts w:ascii="Times New Roman" w:hAnsi="Times New Roman" w:eastAsia="Times New Roman"/>
          <w:sz w:val="20"/>
          <w:b/>
          <w:color w:val="auto"/>
        </w:rPr>
        <w:t>The American Philosophical Association</w:t>
      </w:r>
      <w:r>
        <w:rPr>
          <w:rFonts w:ascii="Times New Roman" w:hAnsi="Times New Roman" w:eastAsia="Times New Roman"/>
          <w:sz w:val="20"/>
          <w:color w:val="auto"/>
        </w:rPr>
        <w:t>; former American an</w:t>
      </w:r>
      <w:r>
        <w:rPr>
          <w:rFonts w:ascii="Times New Roman" w:hAnsi="Times New Roman" w:eastAsia="Times New Roman"/>
          <w:sz w:val="20"/>
          <w:color w:val="auto"/>
          <w:spacing w:val="-1"/>
        </w:rPr>
        <w:t>d Western Associations become Eastern and</w:t>
      </w:r>
      <w:r>
        <w:rPr>
          <w:rFonts w:ascii="Times New Roman" w:hAnsi="Times New Roman" w:eastAsia="Times New Roman"/>
          <w:sz w:val="12"/>
          <w:color w:val="auto"/>
          <w:spacing w:val="-1"/>
        </w:rPr>
        <w:t xml:space="preserve"> </w:t>
      </w:r>
      <w:r>
        <w:rPr>
          <w:rFonts w:ascii="Times New Roman" w:hAnsi="Times New Roman" w:eastAsia="Times New Roman"/>
          <w:sz w:val="20"/>
          <w:color w:val="auto"/>
          <w:spacing w:val="-1"/>
        </w:rPr>
        <w:t>Western</w:t>
      </w:r>
      <w:r>
        <w:rPr>
          <w:rFonts w:ascii="Times New Roman" w:hAnsi="Times New Roman" w:eastAsia="Times New Roman"/>
          <w:sz w:val="12"/>
          <w:color w:val="auto"/>
          <w:spacing w:val="-1"/>
        </w:rPr>
        <w:t xml:space="preserve"> </w:t>
      </w:r>
      <w:r>
        <w:rPr>
          <w:rFonts w:ascii="Times New Roman" w:hAnsi="Times New Roman" w:eastAsia="Times New Roman"/>
          <w:sz w:val="20"/>
          <w:color w:val="auto"/>
          <w:spacing w:val="-1"/>
        </w:rPr>
        <w:t xml:space="preserve">Divisions </w:t>
      </w:r>
      <w:r>
        <w:rPr>
          <w:rFonts w:ascii="Times New Roman" w:hAnsi="Times New Roman" w:eastAsia="Times New Roman"/>
          <w:sz w:val="20"/>
          <w:color w:val="auto"/>
        </w:rPr>
        <w:t>of The APA, respectively.</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1924–1925: First year of the Pacific Division</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1985–1986: Western Division changes name to Central Division</w:t>
      </w:r>
    </w:p>
    <w:p>
      <w:pPr>
        <w:spacing w:before="60" w:beforeAutospacing="0"/>
        <w:jc w:val="both"/>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rFonts w:ascii="Times New Roman" w:hAnsi="Times New Roman" w:eastAsia="Times New Roman"/>
          <w:sz w:val="18"/>
          <w:color w:val="auto"/>
        </w:rPr>
      </w:pPr>
      <w:r>
        <w:rPr>
          <w:rFonts w:ascii="Times New Roman" w:hAnsi="Times New Roman" w:eastAsia="Times New Roman"/>
          <w:sz w:val="18"/>
          <w:color w:val="0000FF"/>
          <w:u w:val="single"/>
        </w:rPr>
        <w:fldChar w:fldCharType="begin"/>
        <w:instrText xml:space="preserve"> HYPERLINK \l "TABLE_OF_CONTENTS" </w:instrText>
        <w:fldChar w:fldCharType="separate"/>
      </w:r>
      <w:r>
        <w:rPr>
          <w:rFonts w:ascii="Times New Roman" w:hAnsi="Times New Roman" w:eastAsia="Times New Roman"/>
          <w:sz w:val="18"/>
          <w:color w:val="0000FF"/>
          <w:u w:val="single"/>
        </w:rPr>
        <w:t>Return to TOC</w:t>
        <w:fldChar w:fldCharType="end"/>
      </w:r>
    </w:p>
    <w:p>
      <w:pPr>
        <w:keepNext w:val="0"/>
        <w:pStyle w:val="Heading1"/>
      </w:pPr>
      <w:r/>
      <w:bookmarkStart w:id="32" w:name="ACKNOWLEDGMENTS"/>
      <w:r>
        <w:t>ACKNOWLEDGMENTS</w:t>
      </w:r>
      <w:bookmarkEnd w:id="32"/>
    </w:p>
    <w:p>
      <w:pPr>
        <w:spacing w:after="200" w:afterAutospacing="0" w:line="240" w:lineRule="auto"/>
        <w:pStyle w:val="BodyText"/>
      </w:pPr>
      <w:r>
        <w:t>We are most honored to have Nicholas Rescher (1989–1990), a past APA president, as a contributor to this volume.</w:t>
      </w:r>
    </w:p>
    <w:p>
      <w:pPr>
        <w:ind w:left="446"/>
        <w:spacing w:after="180" w:afterAutospacing="0"/>
        <w:jc w:val="both"/>
        <w:rPr>
          <w:rFonts w:ascii="Times New Roman" w:hAnsi="Times New Roman" w:eastAsia="Times New Roman"/>
          <w:sz w:val="20"/>
          <w:color w:val="auto"/>
        </w:rPr>
      </w:pPr>
      <w:r>
        <w:rPr>
          <w:rFonts w:ascii="Times New Roman" w:hAnsi="Times New Roman" w:eastAsia="Times New Roman"/>
          <w:sz w:val="20"/>
          <w:color w:val="auto"/>
        </w:rPr>
        <w:t xml:space="preserve">Nicholas Rescher’s chapter in this volume, Presidential Views on Philosophical Progress is a revised version of “American Philosophy Today,” </w:t>
      </w:r>
      <w:r>
        <w:rPr>
          <w:rFonts w:ascii="Times New Roman" w:hAnsi="Times New Roman" w:eastAsia="Times New Roman"/>
          <w:sz w:val="20"/>
          <w:i/>
          <w:color w:val="auto"/>
        </w:rPr>
        <w:t>The Review of Metaphysics</w:t>
      </w:r>
      <w:r>
        <w:rPr>
          <w:rFonts w:ascii="Times New Roman" w:hAnsi="Times New Roman" w:eastAsia="Times New Roman"/>
          <w:sz w:val="20"/>
          <w:color w:val="auto"/>
        </w:rPr>
        <w:t xml:space="preserve"> 46 (1993): 717–745. Parts of it are also found in fuller contextualization in the chapter, American Philosophy at the Century’s End, in </w:t>
      </w:r>
      <w:r>
        <w:rPr>
          <w:rFonts w:ascii="Times New Roman" w:hAnsi="Times New Roman" w:eastAsia="Times New Roman"/>
          <w:sz w:val="20"/>
          <w:i/>
          <w:color w:val="auto"/>
        </w:rPr>
        <w:t>Studies in 20th Century Philosophy</w:t>
      </w:r>
      <w:r>
        <w:rPr>
          <w:rFonts w:ascii="Times New Roman" w:hAnsi="Times New Roman" w:eastAsia="Times New Roman"/>
          <w:sz w:val="20"/>
          <w:color w:val="auto"/>
        </w:rPr>
        <w:t xml:space="preserve"> (Frankfurt: Ontos, 2005), pp. 1–26.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 series as comprehensive as the Presidential Addresses of the American Philosophical Association Centennial Series would be impossible to produce without a small army of individuals and organizations who contributed in many ways, large and small, at every step of the process. Each of the first ten volumes contains an extensive list of these individuals and what role they played. Here in this final volume of the series, I want acknowledge those who have contributed to this volume and to the Centennial Series generally.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First, I owe many thanks to the people who got this project off the ground and assisted with getting it published. Eric Hoffman, Executive Director of the American Philosophical Association when I first proposed the series, not only gave me his hearty endorsement, but arranged for me to receive a $30,000 grant to cover production costs. He arranged for the boards of the three APA divisions to be represented by Ernest Sosa and Philip Lawrence Quinn who supervised my early work and who helped to negotiate the first contract with Kluwer Academic Publishers, who published Volumes 1–4. Michael Kelly, executive director of the American Philosophical Association by 2001, negotiated the transfer of the series from Kluwer to Prometheus Books. Steven L. Mitchell of Prometheus Books was a patient and responsive editor who provided me both guidance and authority in editorial decisions. Prometheus published Volumes 5 and 6. As I negotiated regaining the copyrights to the series from Prometheus, which allowed me to self-publish the remainder of the series, Attorney Zick Rubin and American Philosophical Association Executive Director, David Schrader, gave meticulous attention to the details of this transfer. Finally, George Leaman, Executive Director of the Philosophy Documentation Center (PDC), has worked with me to ensure that PDC will be responsible for marketing and distribution of the series.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Most importantly for this volume, I wish to express thanks to John R. Shook, who agreed to be the compiling editor for Volume 11. Although envisioned as part of the Centennial Series from the project’s inception, there is always a huge distance between concocting the idea for such an ambitious volume and actually getting it done. John, unlike me when I started the project, had already established impressive credentials as a historiographer of philosophy with his publication of the four-volume </w:t>
      </w:r>
      <w:r>
        <w:rPr>
          <w:rFonts w:ascii="Times New Roman" w:hAnsi="Times New Roman" w:eastAsia="Times New Roman"/>
          <w:sz w:val="20"/>
          <w:i/>
          <w:color w:val="auto"/>
        </w:rPr>
        <w:t>Dictionary of Modern American Philosophers</w:t>
      </w:r>
      <w:r>
        <w:rPr>
          <w:rFonts w:ascii="Times New Roman" w:hAnsi="Times New Roman" w:eastAsia="Times New Roman"/>
          <w:sz w:val="20"/>
          <w:color w:val="auto"/>
        </w:rPr>
        <w:t xml:space="preserve"> and the two-volume </w:t>
      </w:r>
      <w:r>
        <w:rPr>
          <w:rFonts w:ascii="Times New Roman" w:hAnsi="Times New Roman" w:eastAsia="Times New Roman"/>
          <w:sz w:val="20"/>
          <w:i/>
          <w:color w:val="auto"/>
        </w:rPr>
        <w:t>Dictionary of Early American Philosophers</w:t>
      </w:r>
      <w:r>
        <w:rPr>
          <w:sz w:val="20"/>
          <w:color w:val="auto"/>
        </w:rPr>
        <w:t>.</w:t>
      </w:r>
      <w:r>
        <w:rPr>
          <w:rFonts w:ascii="Times New Roman" w:hAnsi="Times New Roman" w:eastAsia="Times New Roman"/>
          <w:sz w:val="20"/>
          <w:rStyle w:val="EndnoteReference"/>
          <w:color w:val="auto"/>
        </w:rPr>
        <w:endnoteReference w:id="12"/>
      </w:r>
      <w:r>
        <w:rPr>
          <w:rFonts w:ascii="Times New Roman" w:hAnsi="Times New Roman" w:eastAsia="Times New Roman"/>
          <w:sz w:val="20"/>
          <w:color w:val="auto"/>
        </w:rPr>
        <w:t xml:space="preserve"> This experience made him uniquely qualified to do a terrific job of it. The downside of that is that his experience also made him acutely aware of the prodigious amount of work and drain on his time that producing such a volume entails. I am eternally grateful to him that he accepted my invitation and carried it out so ably and with such impressive results. As well, I owe a debt of gratitude to the many contributors who wrote for the volume. Theirs was a daunting challenge that they completed admirably.</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Finally, for Elaine, my cherished life partner, who has supported me with her love, compassion, and patience for over fifty-five years, there are no words adequate to express my deep gratitude and love. Through most of the time that Volume 11 was in production, her commitment was challenged in unexpected ways that neither of us ever envisioned. She is my strength, and I dedicate this series to her.</w:t>
      </w:r>
    </w:p>
    <w:p>
      <w:pPr>
        <w:jc w:val="right"/>
        <w:pStyle w:val="biosources"/>
        <w:rPr>
          <w:sz w:val="20"/>
        </w:rPr>
      </w:pPr>
      <w:r>
        <w:rPr>
          <w:sz w:val="20"/>
        </w:rPr>
        <w:t>Richard T. Hull</w:t>
      </w:r>
    </w:p>
    <w:p>
      <w:pPr>
        <w:ind w:left="0" w:firstLine="446"/>
        <w:jc w:val="right"/>
        <w:rPr>
          <w:rFonts w:ascii="Times New Roman" w:hAnsi="Times New Roman" w:eastAsia="Times New Roman"/>
          <w:sz w:val="20"/>
          <w:color w:val="auto"/>
        </w:rPr>
      </w:pPr>
      <w:r>
        <w:rPr>
          <w:rFonts w:ascii="Times New Roman" w:hAnsi="Times New Roman" w:eastAsia="Times New Roman"/>
          <w:sz w:val="20"/>
          <w:color w:val="auto"/>
        </w:rPr>
        <w:t>Tallahassee, Florida</w:t>
      </w:r>
    </w:p>
    <w:p>
      <w:pPr>
        <w:spacing w:before="60" w:beforeAutospacing="0"/>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rFonts w:ascii="Times New Roman" w:hAnsi="Times New Roman" w:eastAsia="Times New Roman"/>
          <w:sz w:val="20"/>
          <w:color w:val="auto"/>
        </w:rPr>
      </w:pPr>
      <w:r>
        <w:rPr>
          <w:rFonts w:ascii="Times New Roman" w:hAnsi="Times New Roman" w:eastAsia="Times New Roman"/>
          <w:sz w:val="18"/>
          <w:color w:val="0000FF"/>
          <w:u w:val="single"/>
        </w:rPr>
        <w:fldChar w:fldCharType="begin"/>
        <w:instrText xml:space="preserve"> HYPERLINK \l "TABLE_OF_CONTENTS" </w:instrText>
        <w:fldChar w:fldCharType="separate"/>
      </w:r>
      <w:r>
        <w:rPr>
          <w:rFonts w:ascii="Times New Roman" w:hAnsi="Times New Roman" w:eastAsia="Times New Roman"/>
          <w:sz w:val="18"/>
          <w:color w:val="0000FF"/>
          <w:u w:val="single"/>
        </w:rPr>
        <w:t>Return to TOC</w:t>
        <w:fldChar w:fldCharType="end"/>
      </w:r>
    </w:p>
    <w:p>
      <w:pPr>
        <w:keepNext w:val="0"/>
        <w:pStyle w:val="Heading1"/>
      </w:pPr>
      <w:r/>
      <w:bookmarkStart w:id="35" w:name="EDITORIAL_NOTES"/>
      <w:r>
        <w:t>EDITORIAL NOTES</w:t>
      </w:r>
      <w:bookmarkEnd w:id="35"/>
    </w:p>
    <w:p>
      <w:pPr>
        <w:spacing w:after="200" w:afterAutospacing="0" w:line="240" w:lineRule="auto"/>
        <w:pStyle w:val="BodyText"/>
      </w:pPr>
      <w:r>
        <w:t>The present three divisions of The American Philosophical Association—Eastern, Central, and Pacific—have had as their precursors: in the case of the Central Division, the Western Division, and, before that, the Western Philosophical Association; in the case of the Eastern Division, the American Philosophical Association. Obviously, confusion is possible, and in order to keep some distinction among the names, reference to the entire association is rendered as “The American Philosophical Association,” with the definite article capitalized. The precursor to the Eastern Division is rendered as “the American Philosophical Association” with the definite article in lower case (except if the term is quoted from a previously published address or, of course, when occurring at the start of a sentence).</w:t>
      </w:r>
    </w:p>
    <w:p>
      <w:pPr>
        <w:spacing w:after="200" w:afterAutospacing="0" w:line="240" w:lineRule="auto"/>
        <w:pStyle w:val="BodyText"/>
      </w:pPr>
      <w:r>
        <w:t xml:space="preserve">Throughout this volume, the first instance of each past President in each chapter will give the person’s full name, followed by the years indicating their terms of service as presidents of The APA or one of its precursors. </w:t>
      </w:r>
    </w:p>
    <w:p>
      <w:pPr>
        <w:spacing w:after="200" w:afterAutospacing="0" w:line="240" w:lineRule="auto"/>
        <w:pStyle w:val="BodyText"/>
      </w:pPr>
      <w:r>
        <w:t xml:space="preserve">For brevity, citations referring to </w:t>
      </w:r>
      <w:r>
        <w:rPr>
          <w:i/>
        </w:rPr>
        <w:t>Presidential Addresses of the American Philosophical Association</w:t>
      </w:r>
      <w:r>
        <w:t>, volumes 1–10, will be placed in-line in the text, and will specify only the volume number prior to the page locators; for example, “(3:234)” indicates p. 234 in Volume 3. A complete list of addresses titles with their page spans can be found in the Appendix for easy cross-reference.</w:t>
      </w:r>
    </w:p>
    <w:p>
      <w:pPr>
        <w:spacing w:after="200" w:afterAutospacing="0" w:line="240" w:lineRule="auto"/>
        <w:pStyle w:val="BodyText"/>
      </w:pPr>
      <w:r>
        <w:t>The e-book edition has, for technical reasons, has other treatments for a number of formatting issues from those of the print version. Indexing has been treated in the conventional manner for the print-on-demand and PDF versions of the volume. However, page locators in such an index shown in the electronic book version would be irrelevant, since electronic books “scroll” and have no individual pages, per se. In the first ten volumes, page locators were omitted from the indexes for the electronic versions. For this volume, we offer an interactive index. The page locators as shown in the print version have been retained, since they may be helpful for scholarly research or citation, and hyperlinks for the page locators shown have been connected to the place where that page would have begun in the print version. For example, where John Dewey’s name appears in the middle of page 267 in the print version, the hyperlink associated with p. 267 in the e-book will take the reader to the top of p. 267.</w:t>
      </w:r>
    </w:p>
    <w:p>
      <w:pPr>
        <w:spacing w:after="200" w:afterAutospacing="0" w:line="240" w:lineRule="auto"/>
        <w:pStyle w:val="BodyText"/>
      </w:pPr>
      <w:r>
        <w:t>Another difference between print and e-book versions addresses large amounts of white space that sometimes appear on some pages (which differ depending on the font size selected, the particular reader being employed, and other factors). To avoid this issue as much as possible, many long paragraphs in the print version, which follow scholarly paragraphing rules, have been broken into shorter paragraphs. Only minor wording changes may be noticed to accommodate these changes; for example, what might have been a proper pronoun in the middle of a long paragraph may be replaced with its proper referent in the new, shorter paragraph.</w:t>
      </w:r>
    </w:p>
    <w:p>
      <w:pPr>
        <w:spacing w:after="200" w:afterAutospacing="0" w:line="240" w:lineRule="auto"/>
        <w:pStyle w:val="BodyText"/>
      </w:pPr>
      <w:r>
        <w:t>Figures that appear in-line in the text in the print version must be presented as hyperlinks to the same figures placed on separate pages in the e-book versions. Each of the figures will have hyperlinks to return the reader back to the referring location in the text.</w:t>
      </w:r>
    </w:p>
    <w:p>
      <w:pPr>
        <w:spacing w:line="240" w:lineRule="auto"/>
        <w:pStyle w:val="BodyText"/>
      </w:pPr>
      <w:r>
        <w:t>Finally, the print version of this manuscript has been prepared in Times New Roman font, which is not available on Kindle or Nook. Instead, those readers offer the font, Georgia, which was designed for clarity on a computer monitors even at small sizes, which is ideal for e-book readers. To the untrained eye, we find that the only noticeable difference between Times New Roman  and Georgia is that Georgia appears larger (and its bold bolder) at the same font size as Times New Roman. Otherwise, all the symbols and foreign language diacritical marks available in the print version should be correctly rendered in the e-book version if you select either Georgia or “publisher default” in your font options.</w:t>
      </w:r>
    </w:p>
    <w:p>
      <w:pPr>
        <w:spacing w:before="60" w:beforeAutospacing="0" w:line="240" w:lineRule="auto"/>
        <w:jc w:val="left"/>
        <w:pStyle w:val="BodyText"/>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pStyle w:val="Heading1"/>
      </w:pPr>
      <w:r/>
      <w:bookmarkStart w:id="37" w:name="INTRODUCTION"/>
      <w:r>
        <w:t>INTRODUCTION</w:t>
      </w:r>
      <w:r/>
    </w:p>
    <w:p>
      <w:pPr>
        <w:spacing w:after="160" w:afterAutospacing="0"/>
        <w:jc w:val="center"/>
        <w:widowControl w:val="0"/>
        <w:pStyle w:val="NoSpacing"/>
      </w:pPr>
      <w:r/>
      <w:bookmarkEnd w:id="37"/>
      <w:r>
        <w:t>John R. Shook</w:t>
      </w:r>
    </w:p>
    <w:p>
      <w:pPr>
        <w:jc w:val="both"/>
        <w:widowControl w:val="0"/>
        <w:pStyle w:val="NoSpacing"/>
      </w:pPr>
      <w:r>
        <w:t xml:space="preserve">This companion volume to the ten-volume </w:t>
      </w:r>
      <w:r>
        <w:rPr>
          <w:i/>
        </w:rPr>
        <w:t xml:space="preserve">Presidential Addresses of the American Philosophical Association </w:t>
      </w:r>
      <w:r>
        <w:t>Centennial Series</w:t>
      </w:r>
      <w:r>
        <w:rPr>
          <w:i/>
        </w:rPr>
        <w:t xml:space="preserve"> </w:t>
      </w:r>
      <w:r>
        <w:t xml:space="preserve">was envisioned by its general editor, Richard T. Hull. Anticipating when this multi-year project would culminate in the definitive collection of writings by philosophers who have each been elected president of one of the three divisions of the American Philosophical Association during its first 100 years, Hull asked me to edit a capstone volume of essays that presents both a retrospective and introspective overview. I am pleased to be able to deliver this volume, which completes the most ambitious scholarly work about the American Philosophical Association yet assembled. </w:t>
      </w:r>
    </w:p>
    <w:p>
      <w:pPr>
        <w:ind w:left="0" w:firstLine="446"/>
        <w:jc w:val="both"/>
        <w:widowControl w:val="0"/>
        <w:pStyle w:val="NoSpacing"/>
      </w:pPr>
      <w:r>
        <w:t xml:space="preserve">The nineteen chapters in this volume are a magnificent set, surveying nearly 250 addresses. This is a stunning accomplishment by a fine group of scholars. Their dedication to the historical and contemporary study of philosophy in America is exemplary. They each have produced extremely valuable essays to guide the reader through the ten volumes of presidential addresses and survey the extraordinary diversity of philosophical thought represented there. </w:t>
      </w:r>
    </w:p>
    <w:p>
      <w:pPr>
        <w:ind w:left="0" w:firstLine="446"/>
        <w:jc w:val="both"/>
        <w:widowControl w:val="0"/>
        <w:pStyle w:val="NoSpacing"/>
      </w:pPr>
      <w:r>
        <w:t xml:space="preserve">The first ten chapters each chronologically focus on one decade of the twentieth century. The assigned task was to weave together an account of that decade’s addresses, pointing out the prominent topics and common themes among them, and discussing the philosophical movements they represented during their day. The next nine chapters are topical essays, each centering on a philosophical issue or area, and selecting out relevant addresses illustrating how that issue or area was developed over the course of the twentieth century. The choice of topical areas for this volume was determined by the number of presidential addresses falling under those areas, not by any proffered measure of their intrinsic merit or value for American philosophical thought. Many philosophical topics, such as those relating to anthropology, culture, or religion, are as equally important as any selected for inclusion here, but too few presidential addresses centered on them. Nevertheless, these addresses were not neglected, because they still receive due attention in their respective decade’s chapter. </w:t>
      </w:r>
    </w:p>
    <w:p>
      <w:pPr>
        <w:ind w:left="0" w:firstLine="446"/>
        <w:jc w:val="both"/>
        <w:widowControl w:val="0"/>
        <w:pStyle w:val="NoSpacing"/>
        <w:rPr>
          <w:vertAlign w:val="superscript"/>
        </w:rPr>
      </w:pPr>
      <w:r>
        <w:t xml:space="preserve">As James Good relates at the opening of his chapter on the first decade of the twentieth century, early presidential addresses typically provided sophisticated philosophical insights into broad intellectual concerns. With that goal firmly set by exemplary philosophers of stature and influence, the mission to professionalize the academic discipline of philosophy was taking one more step, in the middle of a long journey. For some philosophers of that era, the examples of the ongoing professionalization of neighboring disciplines such as psychology, sociology, and history weighed heavily on their minds. Good’s chapter is a clear window through which one can observe how APA presidents used their elected status in front of their peers to try to position philosophy’s characteristic concerns with respect to the humanities, the social sciences, and the natural sciences. These early presidents also took their opportunities to try to shape the way philosophy itself should be done, by both example and exhortation. One of Good’s citations for further reading about the formation and first decades of the APA deserves mention here: readers are well advised to consult James Campbell’s thorough work, </w:t>
      </w:r>
      <w:r>
        <w:rPr>
          <w:i/>
        </w:rPr>
        <w:t>A Thoughtful Profession: The Early Years of the American Philosophical Association</w:t>
      </w:r>
      <w:r>
        <w:t>.</w:t>
      </w:r>
      <w:r>
        <w:rPr>
          <w:rStyle w:val="EndnoteReference"/>
        </w:rPr>
        <w:endnoteReference w:id="13"/>
      </w:r>
    </w:p>
    <w:p>
      <w:pPr>
        <w:ind w:left="0" w:firstLine="446"/>
        <w:jc w:val="both"/>
        <w:widowControl w:val="0"/>
        <w:pStyle w:val="NoSpacing"/>
      </w:pPr>
      <w:r>
        <w:t xml:space="preserve">Philosophy was the final primary academic discipline to be professionalized in the United States. The APA’s second decade began with a continuation of the earnest debates among idealism, realism, and pragmatism, but social upheaval and World War I, followed by the tumultuous 1920s, made metaphysics an otiose extravagance. The burdens of the real world severely strained the young profession. Philosophy’s guiding light was German-made, yet Germany was suddenly the enemy of civilization. </w:t>
      </w:r>
    </w:p>
    <w:p>
      <w:pPr>
        <w:ind w:left="0" w:firstLine="446"/>
        <w:jc w:val="both"/>
        <w:widowControl w:val="0"/>
        <w:pStyle w:val="NoSpacing"/>
      </w:pPr>
      <w:r>
        <w:t xml:space="preserve">Philosophy was supposed to provide ethical wisdom, but what consolations could be offered for a tragically horrifying war? Randall Auxier identifies the presidencies of several pragmatic-minded and socially-oriented philosophers trying to guide philosophy through urgently practical matters. Matthew Broderick carries the tale through the 1920s, as peacetime for the civil realm was paired with dramatic scientific upheaval. Does science supply the standard of objective knowledge to which philosophy should aspire, or does the overthrow of scientific theories in abrupt revolutions instead open up vast vistas of fruitful metaphysical speculation for philosophy? </w:t>
      </w:r>
    </w:p>
    <w:p>
      <w:pPr>
        <w:ind w:left="0" w:firstLine="446"/>
        <w:jc w:val="both"/>
        <w:widowControl w:val="0"/>
        <w:pStyle w:val="NoSpacing"/>
      </w:pPr>
      <w:r>
        <w:t xml:space="preserve">By the 1930s, the professionalization of philosophy was awkwardly, yet fully, completed. The second generation of scholars who earned their PhDs from young doctoral programs during 1890–1915 had, by then, reached mid-career and began populating APA presidencies. Brian Henning organizes the addresses from the 1930s by the philosophical school they defended, indicating how philosophy was entirely controlled by debates within philosophy proper. Only the sudden rise of Fascism in central and southern Europe during the final years of that decade turned some presidential heads towards political issues. My chapter on the presidential addresses from the 1940s also highlights the substantial number of addresses tackling political questions, along with larger humanistic concerns about the capacity of humankind to govern itself, and the ultimate fate of civilization. To read a few of the most anxiety-driven and heart-rending addresses during the height of the war, and at the start of the atomic age, is to suffer with those presidents through truly dark and depressing visions of philosophy’s stark irrelevance. </w:t>
      </w:r>
    </w:p>
    <w:p>
      <w:pPr>
        <w:ind w:left="0" w:firstLine="446"/>
        <w:jc w:val="both"/>
        <w:widowControl w:val="0"/>
        <w:pStyle w:val="NoSpacing"/>
      </w:pPr>
      <w:r>
        <w:t xml:space="preserve">Presidents during the 1950s, in Frank Ryan’s estimation, appeared to be casting about for great systems of philosophy as espoused by their teachers, but mostly succeeded in fostering a dramatic surge of diversity and breadth into the profession. Their addresses typically reflected their own specialized scholarly interests more than any generation of philosophers before them. Yet the cumulative effect was to infuse philosophy with much-needed flexibility and fresh perspective. It was during this decade that addresses were heard about such matters as Zen Buddhism, Soviet jurisprudence, Plato’s Demiurge, a universal grammar, nonlinguistic ritual, the tragic sense of life, logical positivism’s failures, existentialism’s contingencies, scientific naturalism, aesthetics, and undetached rabbit parts. </w:t>
      </w:r>
    </w:p>
    <w:p>
      <w:pPr>
        <w:ind w:left="0" w:firstLine="446"/>
        <w:jc w:val="both"/>
        <w:widowControl w:val="0"/>
        <w:pStyle w:val="NoSpacing"/>
      </w:pPr>
      <w:r>
        <w:t xml:space="preserve">During the 1960s, widely regarded as the time when analytic philosophy achieved professional domination, many philosophical movements were still amply represented. As many presidents were explaining concerns for deep puzzles encountered while following out analytic precepts as there were presidents sounding confident that analytic techniques were finally resolving persistent puzzles. David Johnson and I also note how ethics rode of surge of interest from several presidents, and the area of history of philosophy also enjoyed some overdue attention. David Boersema’s discussion of addresses from the 1970s shows how the heights of analytic philosophy were actually reached during that decade. The topical areas of philosophy of language, philosophy of mind, epistemology, and philosophy of science now formed the “core” to professional philosophy, and important addresses staked out vital positions on that core. </w:t>
      </w:r>
    </w:p>
    <w:p>
      <w:pPr>
        <w:ind w:left="0" w:firstLine="446"/>
        <w:jc w:val="both"/>
        <w:widowControl w:val="0"/>
        <w:pStyle w:val="NoSpacing"/>
      </w:pPr>
      <w:r>
        <w:t>According to Drew Christie’s narrative about that decade, during the 1980s, the history of philosophy, continental philosophy, ethics, and political philosophy regained a better balance with the analytic core. This reflects a broader diversity of interests and perspectives on philosophy by these presidents. A contributing factor was the revolt of the self-styled pluralists during the late 1970’s.</w:t>
      </w:r>
      <w:r>
        <w:rPr>
          <w:rStyle w:val="EndnoteReference"/>
        </w:rPr>
        <w:endnoteReference w:id="14"/>
      </w:r>
      <w:r>
        <w:t xml:space="preserve"> They wrested away exclusive control over the APA presidency and the APA Eastern Division meeting’s annual program from the reigning analytic camp, with the unexpected but timely assistance of Eastern Division president Richard Rorty.</w:t>
      </w:r>
      <w:r>
        <w:rPr>
          <w:rStyle w:val="EndnoteReference"/>
        </w:rPr>
        <w:endnoteReference w:id="15"/>
      </w:r>
      <w:r>
        <w:t xml:space="preserve"> The 1990s went on to witness, as Mark Tschaepe documents, a re-stablilized sense of philosophy as a profession that could handle large internal dissents across schools and movements. Many presidents sought to advance their areas of interest with creative combinations of views from various philosophical fields, and greater interest in interdisciplinary theoretical work was also much in evidence. </w:t>
      </w:r>
    </w:p>
    <w:p>
      <w:pPr>
        <w:ind w:left="0" w:firstLine="446"/>
        <w:jc w:val="both"/>
        <w:widowControl w:val="0"/>
        <w:pStyle w:val="NoSpacing"/>
      </w:pPr>
      <w:r>
        <w:t xml:space="preserve">The chronological chapters are followed by the topical chapters. Gazing over the twentieth century’s presidents, Nicholas Rescher examines addresses that concern the idea of philosophical progress. From the hopeful to the pessimistic, these addresses, not surprisingly, also disagree about what is meant by “philosophical progress.” Few could deny that fads and fashions swept through philosophy no less frequently than the waves passing through other intellectual endeavors. Some presidents appealed to the ever-increasing specialization expected of professional philosophers, and its accompanying reliance on sophisticated argumentative technique, to make a case for some sort of progress. Other presidents made the rejoinder that only the appearance of progress was gained thereby, since specializations enhanced the guild-like structure of philosophical fields where initiates into arcane and esoteric matters could no longer understand other fields, or communicate their learning to other academic disciples or to the public. </w:t>
      </w:r>
    </w:p>
    <w:p>
      <w:pPr>
        <w:ind w:left="0" w:firstLine="446"/>
        <w:jc w:val="both"/>
        <w:widowControl w:val="0"/>
        <w:pStyle w:val="NoSpacing"/>
      </w:pPr>
      <w:r>
        <w:t xml:space="preserve">Tibor Solymosi next turns to the crucial relationship between philosophy and the sciences. The emergence of philosophy as its own professionally academic discipline, first in Germany during the first half of the nineteenth century, and then followed by English and American versions in the second half of the nineteenth century, involved a birth struggle against the mothering sciences. Was philosophy’s right to be an independent discipline in the new academic superstructure for the university to be based on its own proprietary </w:t>
      </w:r>
      <w:r>
        <w:rPr>
          <w:i/>
        </w:rPr>
        <w:t>scientia</w:t>
      </w:r>
      <w:r>
        <w:t>—</w:t>
      </w:r>
      <w:r>
        <w:t xml:space="preserve">its own distinctive methodology, irreplaceable by any other mode of knowledge? That question had torn apart psychology already; experimentalists sought mathematical formulas for causality among mental processes, while proto-behaviorist functionalists appealed to teleological explanations and introspectionists demanded that the certainties of phenomenal consciousness take precedence. </w:t>
      </w:r>
    </w:p>
    <w:p>
      <w:pPr>
        <w:ind w:left="0" w:firstLine="446"/>
        <w:jc w:val="both"/>
        <w:widowControl w:val="0"/>
        <w:pStyle w:val="NoSpacing"/>
      </w:pPr>
      <w:r>
        <w:t xml:space="preserve">This dispute was so destabilizing that philosophy had left psychology’s orbit by the dawn of the twentieth century, but Anglo-American philosophy simply duplicated that dissent for itself. Several schools of philosophy claimed that they alone were capable of being scientific (in the broadest sense of possessing a genuine </w:t>
      </w:r>
      <w:r>
        <w:rPr>
          <w:i/>
        </w:rPr>
        <w:t>scientia</w:t>
      </w:r>
      <w:r>
        <w:t>), while other schools claimed that philosophy’s humanistic distinctiveness instead lay in its non-scientific inquiries. Behind all these controversies lay the fundamental question: in what sense could philosophy still be relevant to science? Did philosophy hold the driving keys to the methodological engine making all science possible, or must philosophy be content to join the other humanities with the domestic task of getting our human experience of life comfortable with the sciences?</w:t>
      </w:r>
    </w:p>
    <w:p>
      <w:pPr>
        <w:ind w:left="0" w:firstLine="446"/>
        <w:jc w:val="both"/>
        <w:widowControl w:val="0"/>
        <w:pStyle w:val="NoSpacing"/>
      </w:pPr>
      <w:r>
        <w:t xml:space="preserve">Philosophers who maintained close relationships with ongoing streams of philosophical thought on the Continent pursued these grand questions no less avidly. Cynthia Gayman’s comprehensive four-chapter survey of continental-minded presidents, active in every decade of the twentieth century, reveals how thoroughly Kantian, Hegelian, Marxist, Nietzschean, phenomenological, hermeneutic, existentialist, postmodern, and feminist traditions (along with many more) sustained their impact on philosophical thought in America. Furthermore, as Gayman explains, many APA presidents not known by reputation as continentalist in spirit were, in fact, trying to bridge the growing analytic-continental divide long before that effort became somewhat fashionable in the 1980s and 1990s. </w:t>
      </w:r>
    </w:p>
    <w:p>
      <w:pPr>
        <w:ind w:left="0" w:firstLine="446"/>
        <w:jc w:val="both"/>
        <w:widowControl w:val="0"/>
        <w:pStyle w:val="NoSpacing"/>
      </w:pPr>
      <w:r>
        <w:t xml:space="preserve">The abiding concern for real-world problems of humanity animating much of continental philosophizing was also energizing philosophical work in America in the areas of political theory, political philosophy, and the ethos of democracy. Brian Butler supplies exhaustive evidence that American philosophers never abandoned these areas of philosophical inquiry during any of this century’s decades. Great political events, both domestic and foreign, were the natural occasion calling for commentary and analysis, of course. From the convulsions of World War I and World War II, to the Vietnam War and the long Cold War, all the way to dawn of a hopeful new age for global democracy, prominent American philosophers reflected on perennial philosophical problems inherent to maintaining civic order, searching for political stability, finding the basis for human rights, and constructing constitutions for justice and peace. </w:t>
      </w:r>
    </w:p>
    <w:p>
      <w:pPr>
        <w:ind w:left="0" w:firstLine="446"/>
        <w:jc w:val="both"/>
        <w:widowControl w:val="0"/>
        <w:pStyle w:val="NoSpacing"/>
      </w:pPr>
      <w:r>
        <w:t xml:space="preserve">Nancy Stanlick presents a survey across another perennial arena for philosophical investigation: the realm of ethics. Axiology, metaethics, the disputes among rival ethical systems, normative ethics, and applied ethics all received careful attention from APA presidents across the decades. Another perennial field of philosophy is aesthetics, discussed by Russell Pryba in the closing chapter. As he demonstrates, although twentieth-century aesthetics did not enjoy anything like the prominence in American philosophy that it enjoyed in the nineteenth century, a large number of APA presidents made substantial contributions to issues concerning the nature of beauty, the distinctiveness of aesthetic experience, art and creativity, and the status of the art object and the art world. </w:t>
      </w:r>
    </w:p>
    <w:p>
      <w:pPr>
        <w:spacing w:line="240" w:lineRule="auto"/>
        <w:pStyle w:val="BodyText"/>
      </w:pPr>
      <w:r>
        <w:t>In closing, permit me to express some thoughts about the nature of this companion volume and the primary volumes of APA presidential addresses themselves. That these eleven volumes were assembled for perusal and study in permanent published form is itself an event in the course of professional philosophy calling for explanation. Collected volumes such as these, along with encyclopedic reference works, require vast energies and unparalleled scholarly effort.</w:t>
      </w:r>
      <w:r>
        <w:rPr>
          <w:rStyle w:val="EndnoteReference"/>
        </w:rPr>
        <w:endnoteReference w:id="16"/>
      </w:r>
      <w:r>
        <w:t xml:space="preserve"> Interest in the history of philosophy is one thing; dedication to the historiography of philosophy is another. It is almost beyond words for me to express my profound respect and gratitude for the numerous professional philosophers here in America who have sustained the historiography of philosophy in America. The way that numerous APA presidents were themselves highly respected historiographers of philosophy is a comforting thought. Of even greater comfort is the knowledge that philosophy itself is a historically cumulative enterprise having the grandest experimental scope, so familiarity with its intellectual genealogies is necessary for anything worthy of characterization as philosophical achievement and progress.</w:t>
      </w:r>
    </w:p>
    <w:p>
      <w:pPr>
        <w:spacing w:before="60" w:beforeAutospacing="0" w:line="240" w:lineRule="auto"/>
        <w:pStyle w:val="BodyText"/>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pStyle w:val="Heading1"/>
      </w:pPr>
      <w:r>
        <w:rPr>
          <w:caps/>
        </w:rPr>
      </w:r>
      <w:bookmarkStart w:id="43" w:name="THE_APA_PRESIDENTIAL_ADDRESSES_1901–1910"/>
      <w:r>
        <w:rPr>
          <w:caps/>
        </w:rPr>
        <w:t>THE APA PRESIDENTIAL ADDRESSES</w:t>
        <w:br w:type="textWrapping"/>
        <w:t>1901–1910</w:t>
      </w:r>
      <w:bookmarkEnd w:id="43"/>
    </w:p>
    <w:p>
      <w:pPr>
        <w:spacing w:after="160" w:afterAutospacing="0" w:line="240" w:lineRule="auto"/>
        <w:jc w:val="center"/>
        <w:pStyle w:val="BodyText"/>
      </w:pPr>
      <w:r>
        <w:t>James A. Good and John R. Shook</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pStyle w:val="BodyText"/>
      </w:pPr>
      <w:r>
        <w:t>For over two millennia, Western philosophy has concerned itself with issues of truth, beauty, and justice. Although some may complain that in recent decades, professional philosophers have unduly narrowed their focus to issues of linguistic truth and meaning, the presidential addresses delivered during the first decade of the twentieth century demonstrate that philosophers were equally concerned with broader philosophical issues. Their topics covered a wide range of themes, including beauty, moral judgment, and philosophy of religion. Nonetheless, one can also discern in the first years of The American Philosophical Association (The APA)</w:t>
      </w:r>
      <w:r>
        <w:rPr>
          <w:rStyle w:val="EndnoteReference"/>
        </w:rPr>
        <w:endnoteReference w:id="17"/>
      </w:r>
      <w:r>
        <w:t xml:space="preserve"> the seeds for the narrowing of focus as evinced in addresses such as “The Purposes of a Philosophical Association,” given by James Edwin Creighton (1901–1902), in which he claimed that at American Philosophical Association meetings, philosophers should eschew discussion of practical issues such as how to teach philosophy. Most of the addresses in that first decade were consistent with Creighton’s emphasis, as evinced by the focus Frank Thilly (1900–1901; 1901–1902; 1912–1913) placed on the problems of induction and mind/body dualism in “The Theory of Interaction” and “The Theory of Induction,” with no real consideration of the practical import or application of those issues.</w:t>
      </w:r>
    </w:p>
    <w:p>
      <w:pPr>
        <w:spacing w:line="240" w:lineRule="auto"/>
        <w:pStyle w:val="BodyText2"/>
      </w:pPr>
      <w:r>
        <w:t xml:space="preserve">Indeed, Creighton and several other presidents in the first decade of the APA displayed more concern with the reputation of philosophy than about any responsibility to address social or existential problems. To some extent, it is natural for presidents of a professional philosophical association to devote their addresses to metaphilosophical concerns such as the state of the profession, philosophical methodology, and the purpose of philosophy. </w:t>
      </w:r>
    </w:p>
    <w:p>
      <w:pPr>
        <w:spacing w:line="240" w:lineRule="auto"/>
        <w:pStyle w:val="BodyText2"/>
        <w:rPr>
          <w:i/>
        </w:rPr>
      </w:pPr>
      <w:r>
        <w:t>Concern with the reputation of philosophy is directly relevant to the creation of professional philosophical associations. As other disciplines, such as sociology, psychology, and political science were declaring their independence from philosophy, philosophers were also concerned about the narrowing of their field. For that reason, philosophers who read Volume 1 today may find it profitable to consult the wealth of scholarship on the history and effects of professionalization more generally.</w:t>
      </w:r>
      <w:r>
        <w:rPr>
          <w:rStyle w:val="EndnoteReference"/>
        </w:rPr>
        <w:endnoteReference w:id="18"/>
      </w:r>
    </w:p>
    <w:p>
      <w:pPr>
        <w:spacing w:line="240" w:lineRule="auto"/>
        <w:pStyle w:val="BodyText2"/>
      </w:pPr>
      <w:r>
        <w:t>It might be fruitful to reflect a bit on what Creighton and other philosophers sought to accomplish through the process of professionalization. In the thirteenth century, a “</w:t>
      </w:r>
      <w:r>
        <w:rPr>
          <w:color w:val="262626"/>
          <w:u w:color="262626"/>
        </w:rPr>
        <w:t xml:space="preserve">profession” was the act of taking the vows of a religious order. In our more secular age, a profession is commonly defined in dictionaries as </w:t>
      </w:r>
      <w:r>
        <w:t>an occupation requiring special training in the liberal arts or sciences. Professionalization is the socio-historical process through which an occupation becomes professionalized. In nineteenth-century United States, professionalization came to mean the establishment of an autonomous association that would set standards and qualifications for a well-defined, generally white collar, middle-class occupation. As these associations were founded, it was imperative that each one distinguish its “professional” practitioners from “</w:t>
      </w:r>
      <w:r>
        <w:rPr>
          <w:lang w:val="fr-FR"/>
        </w:rPr>
        <w:t>amateurs</w:t>
      </w:r>
      <w:r>
        <w:t>” in the field and establish its autonomy as the sole arbiter of the distinction it created. In academia, professional associations have tended to correspond to specific disciplines within the organizational structure of research universities, which emerged at the same time as the new professional associations. Indeed, to carry out their functions of distinction and demarcation, professional associations must exercise some form(s) of discipline upon their members and, indirectly, upon non-members.</w:t>
      </w:r>
    </w:p>
    <w:p>
      <w:pPr>
        <w:spacing w:line="240" w:lineRule="auto"/>
        <w:pStyle w:val="BodyText2"/>
      </w:pPr>
      <w:r>
        <w:t>Exploration of the difference between an amateur and a professional philosopher reveals a bit more about the purposes of professionalizers. The term “</w:t>
      </w:r>
      <w:r>
        <w:rPr>
          <w:lang w:val="fr-FR"/>
        </w:rPr>
        <w:t>amateur philosopher</w:t>
      </w:r>
      <w:r>
        <w:t>” seems to be of rather recent origin.</w:t>
      </w:r>
      <w:r>
        <w:rPr>
          <w:rStyle w:val="EndnoteReference"/>
        </w:rPr>
        <w:endnoteReference w:id="19"/>
      </w:r>
      <w:r>
        <w:t xml:space="preserve"> To think about the difference, one might consider how the citizen soldier of the colonial period compares with the Civil War officer trained at West Point, or how the early nineteenth-century midwife compares with the mid-nineteenth-century medical doctor. In both of those trades, professionalization ushered in greater technical sophistication that imperfectly correlates with improvements in actual results. Probably few of us would prefer to live in a society in which many people died of infections that are now easily cured, but professionalization of medicine alone did not dramatically reduce the infant mortality rate. That required substantial improvements in diet and living conditions. The staggering death tolls of battles like Shiloh and Gettysburg might lead one to question the value of professionalization of the military. In both cases, it was important that the increased technical sophistication of professionalization did not give birth to a new form of scholasticism, in which practitioners were so cloistered from the rest of humanity that they lost empathy for the human effects of their techniques. Medical doctors must look beyond the examination room to the living conditions of their patients; officers must look beyond tactical maps to the carnage on the battlefield and the suffering of soldiers and their families.</w:t>
      </w:r>
    </w:p>
    <w:p>
      <w:pPr>
        <w:spacing w:line="240" w:lineRule="auto"/>
        <w:pStyle w:val="BodyText2"/>
      </w:pPr>
      <w:r>
        <w:t>Originally, “</w:t>
      </w:r>
      <w:r>
        <w:rPr>
          <w:lang w:val="fr-FR"/>
        </w:rPr>
        <w:t>amateur</w:t>
      </w:r>
      <w:r>
        <w:t xml:space="preserve">” connoted one who pursued a calling out of love for the subject matter, rather than as a moneymaking career. In this sense of the term, Henry David Thoreau, Ralph Waldo Emerson, and William Torrey Harris are prime examples of amateur philosophers in the United States. It is worth noting that Harris, editor of the </w:t>
      </w:r>
      <w:r>
        <w:rPr>
          <w:i/>
        </w:rPr>
        <w:t xml:space="preserve">Journal of Speculative Philosophy </w:t>
      </w:r>
      <w:r>
        <w:t xml:space="preserve">and a founding member of the St. Louis Philosophical and Literary Society, believed he was professionalizing American philosophy by surpassing the technical sophistication of American transcendentalists such as Emerson and Thoreau and by founding </w:t>
      </w:r>
      <w:r>
        <w:rPr>
          <w:i/>
        </w:rPr>
        <w:t>The Journal of Speculative Philosophy</w:t>
      </w:r>
      <w:r>
        <w:t>,</w:t>
      </w:r>
      <w:r>
        <w:rPr>
          <w:i/>
        </w:rPr>
        <w:t xml:space="preserve"> </w:t>
      </w:r>
      <w:r>
        <w:t>in 1867.</w:t>
      </w:r>
      <w:r>
        <w:rPr>
          <w:i/>
        </w:rPr>
        <w:t xml:space="preserve"> </w:t>
      </w:r>
      <w:r>
        <w:t>To some extent, the transcendentalists seemed to agree with Harris on that point.</w:t>
      </w:r>
      <w:r>
        <w:rPr>
          <w:rStyle w:val="EndnoteReference"/>
        </w:rPr>
        <w:endnoteReference w:id="20"/>
      </w:r>
      <w:r>
        <w:t xml:space="preserve"> At the very same time, however, Harris thought the transcendentalists were too concerned with abstract verities; he sought to give American philosophy a stern push in the direction of practicality. Specifically, Harris and his cohorts believed philosophy must give meaning to the lives of individuals by inculcating self-understanding. They talked a good deal about how the study of philosophy and classic literature could help people identify their vocations, understood as their purpose for society, and thereby achieve personal fulfillment as they pursued it. In his life, Harris set a good example of what the St. Louis Hegelians had in mind. He was active in educational reforms, serving as superintendent of the St. Louis public school system from 1867 to 1880, and was United States Commissioner of Education from 1889 to 1906; in politics, he weighed in on issues of race relations and American imperialism.</w:t>
      </w:r>
      <w:r>
        <w:rPr>
          <w:rStyle w:val="EndnoteReference"/>
        </w:rPr>
        <w:endnoteReference w:id="21"/>
      </w:r>
    </w:p>
    <w:p>
      <w:pPr>
        <w:spacing w:line="240" w:lineRule="auto"/>
        <w:pStyle w:val="BodyText2"/>
      </w:pPr>
      <w:r>
        <w:t xml:space="preserve">Thus, it makes sense to see the work of the St. Louis Hegelians as an early movement toward the professionalization of American philosophy even though, by 1900, their work was neglected by professionalizing American philosophers who held university positions. With the exception of pragmatists such as John Dewey (1905–1906) and James Hayden Tufts (1905–1906; 1914–1915; 1934–1935), many of those who founded the Western Philosophical Association (the WPA) in 1900 and the American Philosophical Association in 1901 sought to separate social reform and political activity from scholarly pursuits. This brings us to certain divisions that existed among the early professionalizers. </w:t>
      </w:r>
    </w:p>
    <w:p>
      <w:pPr>
        <w:spacing w:line="240" w:lineRule="auto"/>
        <w:pStyle w:val="BodyText2"/>
      </w:pPr>
      <w:r>
        <w:t>The St. Louis Hegelians believed that philosophy would gain respectability by being “scientific,” but tended to understand that term to mean that philosophy should strive to be systematic. Dewey, Tufts, and most of the other presidents in the first decade of the APA agreed that philosophy should be scientific, but saw it as experimentation in laboratory settings. Indeed, a primary motive for the founding of philosophical associations was to lend credibility to philosophy by providing a safe harbor in which “professional” philosophers could demonstrate their scientific objectivity. This meant that the founders of the professional associations sought to demonstrate that their research was not motivated, and thereby not biased, by a political agenda. With the exception of those like Dewey and Tufts, this meant that philosophers’ involvement in social and political reform efforts should be narrowly circumscribed.</w:t>
      </w:r>
    </w:p>
    <w:p>
      <w:pPr>
        <w:spacing w:before="100" w:beforeAutospacing="0" w:after="100" w:afterAutospacing="0"/>
        <w:jc w:val="center"/>
        <w:widowControl w:val="0"/>
        <w:pStyle w:val="NoSpacing"/>
      </w:pPr>
      <w:r>
        <w:rPr>
          <w:b/>
        </w:rPr>
        <w:t>2. Inaugural APA Addresses</w:t>
      </w:r>
    </w:p>
    <w:p>
      <w:pPr>
        <w:spacing w:line="240" w:lineRule="auto"/>
        <w:pStyle w:val="BodyText"/>
      </w:pPr>
      <w:r>
        <w:t xml:space="preserve">Frank Thilly of the University of Missouri delivered the first two addresses of a professional American philosophical association, the WPA, because he was instrumental in its founding in 1900. He was well acquainted with efforts at professionalizing philosophy from his graduate and post-graduate years before arriving at Missouri. Berlin and Heidelberg, where he did his graduate studies, were German centers of academic philosophy conducted at its highest levels. His subsequent two years as a philosophy fellow at Cornell University under the supervision of Jacob Gould Schurman further impressed upon him the merits of establishing a truly professional corps of philosophers in America. Schurman had founded </w:t>
      </w:r>
      <w:r>
        <w:rPr>
          <w:i/>
        </w:rPr>
        <w:t>The Philosophical Review</w:t>
      </w:r>
      <w:r>
        <w:t xml:space="preserve">, and Creighton, another Schurman protégé at Cornell, founded the APA the year after Thilly founded the WPA (the APA and WPA later merged in 1920 to form The APA). After Thilly moved east to teach at Cornell in 1906, he was elected, in 1912, to the presidency of the American Philosophical Association as well. </w:t>
      </w:r>
    </w:p>
    <w:p>
      <w:pPr>
        <w:spacing w:line="240" w:lineRule="auto"/>
        <w:pStyle w:val="BodyText2"/>
      </w:pPr>
      <w:r>
        <w:t>In his 1901 address, “The Theory of Interaction,” Thilly focused on the relationship between mind and body, specifically the theories of parallelism and interactionism. He asserted that based on logical and physical laws—the principle of sufficient reason, the principle of identity, the principle of causation, and the conservation of energy—there can be no cause without an effect or effect without a cause. Mind and matter are two completely different forms of existence, so a mental state cannot cause a physical state, or vice-versa. For these reasons, the parallelistic theory asserts that there is no causal relationship between mind and matter.</w:t>
      </w:r>
    </w:p>
    <w:p>
      <w:pPr>
        <w:spacing w:line="240" w:lineRule="auto"/>
        <w:pStyle w:val="BodyText2"/>
      </w:pPr>
      <w:r>
        <w:t>The principle of the conservation of energy states that energy cannot be lost, but this does not preclude the possibility that energy in the material realm might be transformed into a different type of energy in the mental realm. Thus, Thilly argued, this physical law does not rule out interaction between mind and matter: “The state of consciousness is not a cause in the sense of producing or creating anything out of itself. It is a cause in the sense of being an element without which another element called a physical occurrence cannot take place” (1:11). He continued:</w:t>
      </w:r>
    </w:p>
    <w:p>
      <w:pPr>
        <w:ind w:left="446"/>
        <w:spacing w:before="100" w:beforeAutospacing="0" w:after="100" w:afterAutospacing="0" w:line="240" w:lineRule="auto"/>
        <w:pStyle w:val="blockquote"/>
        <w:tabs>
          <w:tab w:val="clear" w:pos="215"/>
        </w:tabs>
      </w:pPr>
      <w:r>
        <w:t>Parallelists deny interaction because they believe it contradicts the law of the conservation of energy, the causal law, and the alleged law that no physical occurrence can have anything but a physical occurrence as its cause. But interaction does not contradict the first two laws properly understood, and the last law is not true. The old-fashioned thinker reasoned by analogy that, because his consciousness caused movements, consciousness was the sole cause of movements in the world. The new-fashioned thinker reasons by analogy that, because physical changes cause movements in the inorganic world, physical changes must be the sole causes of movements in the organic world. (1:12)</w:t>
      </w:r>
    </w:p>
    <w:p>
      <w:pPr>
        <w:spacing w:line="240" w:lineRule="auto"/>
        <w:pStyle w:val="BodyText"/>
      </w:pPr>
      <w:r>
        <w:t>Thilly concluded that interaction does not contradict any scientific laws. Experience tells us that mind does interact with matter.</w:t>
      </w:r>
    </w:p>
    <w:p>
      <w:pPr>
        <w:spacing w:line="240" w:lineRule="auto"/>
        <w:pStyle w:val="BodyText2"/>
      </w:pPr>
      <w:r>
        <w:t>In Thilly’s second address to the WPA the following year, “The Theory of Induction,” he addressed the question of induction: What is the nature of induction and what is its validity? He began by acknowledging that most would agree that induction is the derivation of a general conclusion from particular facts. He noted that some prefer to exclude unscientific induction, simple enumeration, but not everyone agrees with that. Some distinguish between perfect induction, which is certain, and imperfect induction, which is merely probable. Although scholars describe it in different ways, Thilly claimed that there is general agreement that induction is based on the assumption of the general uniformity of nature. Some see this assumption as a postulate of our thinking, while others see it as a product of experience.</w:t>
      </w:r>
    </w:p>
    <w:p>
      <w:pPr>
        <w:spacing w:line="240" w:lineRule="auto"/>
        <w:pStyle w:val="BodyText2"/>
      </w:pPr>
      <w:r>
        <w:t>Thilly set out to address these issues by making his own observations about the definition of induction and its characteristics. He began by stating that induction is a process of conscious inference, and agreed with the general consensus that deduction draws a particular conclusion from a universal, and induction does the opposite. Whether a particular inference is induction does not depend on the truth of the conclusion, because there are cases of hasty, unreliable induction. Induction is not necessarily limited to finding causal relationships; it merely finds regularity of relationships, some of which may be causal. Some believe “induction seeks to discover the inner, necessary relations existing between things” (1:18), but Thilly disagreed.</w:t>
      </w:r>
    </w:p>
    <w:p>
      <w:pPr>
        <w:spacing w:line="240" w:lineRule="auto"/>
        <w:pStyle w:val="BodyText2"/>
      </w:pPr>
      <w:r>
        <w:t>Thilly disagreed with those who define induction as “forming hypotheses, drawing their consequences, and verifying them” (1:20). For him, that process is a mixture of induction and deduction.</w:t>
      </w:r>
    </w:p>
    <w:p>
      <w:pPr>
        <w:spacing w:line="240" w:lineRule="auto"/>
        <w:pStyle w:val="BodyText2"/>
      </w:pPr>
      <w:r>
        <w:t xml:space="preserve">How do we know when an inductive inference is valid? </w:t>
      </w:r>
    </w:p>
    <w:p>
      <w:pPr>
        <w:ind w:left="446"/>
        <w:spacing w:before="100" w:beforeAutospacing="0" w:after="100" w:afterAutospacing="0" w:line="240" w:lineRule="auto"/>
        <w:pStyle w:val="blockquote"/>
        <w:tabs>
          <w:tab w:val="clear" w:pos="215"/>
        </w:tabs>
      </w:pPr>
      <w:r>
        <w:t>In other words, we reach the greatest possible certainty for our particular inductions when we subsume them under generally accepted principles, or prove them deductively. That is why sciences become more and more deductive in the course of time. (1:22)</w:t>
      </w:r>
    </w:p>
    <w:p>
      <w:pPr>
        <w:ind w:left="0" w:firstLine="0"/>
        <w:spacing w:line="240" w:lineRule="auto"/>
        <w:pStyle w:val="BodyText2"/>
      </w:pPr>
      <w:r>
        <w:t>When we discover a causal connection between two phenomena, this is not induction because causation is a necessary connection. When we ask how we can prove induction, we are asking for deductive certainty. “Induction, therefore, may be proved by assuming the law of uniformity. We are warranted in leaping from part to whole by the regularity, or orderliness, or uniformity of nature” (1:23). But how do we know that nature is uniform? We can only muster inductive proof for the uniformity of nature. Because we have experienced uniformities, all of nature must be uniform. Or, rather than an assumption about the whole of nature, we might mean by the uniformity of nature merely that we expect an experience to recur in the future. If we experience something a number of times, we begin to expect it to continue to recur. This is “the psychological ground of our inductive inference” (1:24). Inductive proof is based on this “feeling of expectation” (1:24).</w:t>
      </w:r>
    </w:p>
    <w:p>
      <w:pPr>
        <w:spacing w:line="240" w:lineRule="auto"/>
        <w:pStyle w:val="BodyText2"/>
      </w:pPr>
      <w:r>
        <w:t>Creighton outlined his conception of the purpose of the association that he worked so hard to establish. According to him, the APA would serve a social purpose, and that alone could be of scientific benefit, but it must do more than that. When Creighton talked about philosophical progress, he clearly equated progress with the notion that philosophy must become increasingly scientific.</w:t>
      </w:r>
    </w:p>
    <w:p>
      <w:pPr>
        <w:spacing w:line="240" w:lineRule="auto"/>
        <w:pStyle w:val="BodyText2"/>
      </w:pPr>
      <w:r>
        <w:t xml:space="preserve">Creighton asserted that philosophical progress is a goal: </w:t>
      </w:r>
    </w:p>
    <w:p>
      <w:pPr>
        <w:ind w:left="446"/>
        <w:spacing w:before="100" w:beforeAutospacing="0" w:after="100" w:afterAutospacing="0" w:line="240" w:lineRule="auto"/>
        <w:pStyle w:val="blockquote"/>
        <w:tabs>
          <w:tab w:val="clear" w:pos="215"/>
        </w:tabs>
      </w:pPr>
      <w:r>
        <w:t>In the first place, I would ask you not to suppose from my remarks that I regard the new Association as a kind of universal panacea for all the ills from which philosophy suffers. An association can only act as one cooperating agency among others, or, at most, prove a stimulus to the forces which are essential for progress in philosophical work. (1:30)</w:t>
      </w:r>
    </w:p>
    <w:p>
      <w:pPr>
        <w:spacing w:line="240" w:lineRule="auto"/>
        <w:pStyle w:val="BodyText"/>
      </w:pPr>
      <w:r>
        <w:t xml:space="preserve">He continued, saying that scientific progress requires “conscious cooperation between a number of individuals” (1:31). Philosophers are engaged in a search for truth. Communal inquiry helps us avoid subjectivity. Although some complain that philosophy had become too focused on its history, Creighton argued that knowledge of the history of philosophy is an essential part of philosophical progress. Rather than study the past less, we should focus on historical study that informs us about current problems: </w:t>
      </w:r>
    </w:p>
    <w:p>
      <w:pPr>
        <w:ind w:left="446"/>
        <w:spacing w:before="100" w:beforeAutospacing="0" w:after="100" w:afterAutospacing="0" w:line="240" w:lineRule="auto"/>
        <w:pStyle w:val="blockquote"/>
        <w:tabs>
          <w:tab w:val="clear" w:pos="215"/>
        </w:tabs>
      </w:pPr>
      <w:r>
        <w:t>The history of philosophy is only intelligible when read in the light of present-day problems. Not only is it true that, from a strictly philosophical standpoint, the study of the thought of the past can never be anything more than a means to the better comprehension of the problems of the present time, but, in itself, the former remains to a large extent incomprehensible except as its disputes and questionings are brought into relation to our own problems, and interpreted in their light. (1:32)</w:t>
      </w:r>
    </w:p>
    <w:p>
      <w:pPr>
        <w:spacing w:line="240" w:lineRule="auto"/>
        <w:pStyle w:val="BodyText2"/>
      </w:pPr>
      <w:r>
        <w:t>While Creighton saw value in the study of the history of philosophy, he saw it as secondary to the solution of philosophical problems. Indeed, he believed that study of the history of philosophy should be in service to contemporary philosophy. More than anything, he emphasized that knowledge is gained through social interaction as well as individual study. He saw the facilitation of that social interaction as the primary purpose of the association. Philosophers have been slow to catch on to the social nature of their work because they are dogmatic and because they hold their views emotionally. One reason the association is more important is because philosophers have given up the effort to deduce a system from first principles and now rely more heavily on induction. For that reason, philosophy must now start from experience. This requires philosophers to reach out beyond their own limited experience (1:33–34).</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3. Perspectives on Philosophy</w:t>
      </w:r>
    </w:p>
    <w:p>
      <w:pPr>
        <w:spacing w:line="240" w:lineRule="auto"/>
        <w:pStyle w:val="BodyText"/>
      </w:pPr>
      <w:r>
        <w:t>The early presidents of the APA and WPA took their opportunities to draw attention to their visions for philosophical work and their preferred systems of philosophy. Idealists, naturalists, empiricists, and pragmatists each took their turn at defending distinctive principles of their philosophies.</w:t>
      </w:r>
    </w:p>
    <w:p>
      <w:pPr>
        <w:spacing w:line="240" w:lineRule="auto"/>
        <w:pStyle w:val="BodyText2"/>
      </w:pPr>
      <w:r>
        <w:rPr>
          <w:lang w:val="de-DE"/>
        </w:rPr>
        <w:t xml:space="preserve">In </w:t>
      </w:r>
      <w:r>
        <w:t xml:space="preserve">“External Point of View Philosophy and Its Correlations,” </w:t>
      </w:r>
      <w:r>
        <w:rPr>
          <w:lang w:val="de-DE"/>
        </w:rPr>
        <w:t>Alexander Thomas Ormond (1902–1903) articulated</w:t>
      </w:r>
      <w:r>
        <w:t xml:space="preserve"> a plausible, rational alternative to the “external point of view,” according to which mind knows the world and its objects from an external vantage point. He believed the external point of view had been thoroughly discredited by skepticism, and that philosophy must vindicate itself with a plausible point of view in order to regain credibility. Indeed, Ormond believed that philosophers</w:t>
      </w:r>
      <w:r>
        <w:rPr>
          <w:lang w:val="fr-FR"/>
        </w:rPr>
        <w:t xml:space="preserve"> </w:t>
      </w:r>
      <w:r>
        <w:t>place too much faith in the mind</w:t>
      </w:r>
      <w:r>
        <w:rPr>
          <w:lang w:val="fr-FR"/>
        </w:rPr>
        <w:t>’</w:t>
      </w:r>
      <w:r>
        <w:t>s ability to impose a rational scheme upon the world because they misunderstand the relationship of the mind to the world. This error is manifested in philosophers</w:t>
      </w:r>
      <w:r>
        <w:rPr>
          <w:lang w:val="fr-FR"/>
        </w:rPr>
        <w:t xml:space="preserve">’ </w:t>
      </w:r>
      <w:r>
        <w:t>proclivities toward “over-subtlety” and “over-abstraction,” “for it must be admitted that the philosopher</w:t>
      </w:r>
      <w:r>
        <w:rPr>
          <w:lang w:val="fr-FR"/>
        </w:rPr>
        <w:t>’</w:t>
      </w:r>
      <w:r>
        <w:t>s most besetting fault is a tendency to hypostasize abstractions” (1:47).</w:t>
      </w:r>
    </w:p>
    <w:p>
      <w:pPr>
        <w:spacing w:line="240" w:lineRule="auto"/>
        <w:pStyle w:val="BodyText2"/>
      </w:pPr>
      <w:r>
        <w:t>By a “philosophical point of view,” Ormond meant one that philosophers can occupy fully enough to translate any inquiry into philosophical terms. He claimed that Kant</w:t>
      </w:r>
      <w:r>
        <w:rPr>
          <w:lang w:val="fr-FR"/>
        </w:rPr>
        <w:t>’</w:t>
      </w:r>
      <w:r>
        <w:t>s Copernican Revolution provides exactly that by teaching philosophers that they must focus on how the world conforms to mind, abandoning all efforts to determine how the mind corresponds to the world. This gives philosophers an internal point of view because it prevents them from presuming that they can occupy a position outside of the world. For Ormond, the Copernican Revolution established that consciousness is central to the world.</w:t>
      </w:r>
    </w:p>
    <w:p>
      <w:pPr>
        <w:spacing w:line="240" w:lineRule="auto"/>
        <w:pStyle w:val="BodyText2"/>
      </w:pPr>
      <w:r>
        <w:t>Next, Ormond moved beyond exposition of Kant to a more creative project, the articulation of a unique method for philosophy. He began by asserting that the central core of consciousness is endeavor, more specifically, the “</w:t>
      </w:r>
      <w:r>
        <w:rPr>
          <w:i/>
        </w:rPr>
        <w:t>endeavor to realize</w:t>
      </w:r>
      <w:r>
        <w:t>” (1:51). For Ormond, this demonstrated that the first data of consciousness is will. To avoid the question of whether will or idea is the primary foundation of the self, which Ormond described as the dichotomy of Schopenhauer versus Plato, he proposed that will and idea are combined in reason, which is both ideational and volitional. Although he did not provide a definition of knowledge, it is clear from many passages that his post-Kantian philosophical context makes knowledge a mental construction rather than a mere reflection of a world over and apart from the mind. Knowledge is the process through which the “mind reduces its world to terms of its own experience” (1:50).</w:t>
      </w:r>
    </w:p>
    <w:p>
      <w:pPr>
        <w:spacing w:line="240" w:lineRule="auto"/>
        <w:pStyle w:val="BodyText2"/>
      </w:pPr>
      <w:r>
        <w:t>Finally, Ormond was concerned with the problem of demarcation, specifically that of distinguishing philosophy from science. Although “philosophy bakes no bread,” he conceded, it can and should serve a practical role. By providing objective knowledge of the world, science solves many practical problems, but it tells us nothing about truth, beauty, and goodness. Philosophy, on the other hand, provides knowledge of the inner meaning of things by focusing on the “concepts and analogies” by which the subject makes the world intelligible. In so doing, philosophy gets at the inner meaning of things and addresses higher, albeit practical, concerns such as “the ultimate meaning of life.” As Ormond summarized, “we will say, then, that while philosophy bakes no bread, it does, in connection with religion and art and science, promote an ideal of living that makes it very much more worthwhile that bread should be baked” (1:56). He concluded that philosophy and science play complimentary roles, providing us with practical knowledge in both a mundane sense and in a higher sense (1:53–56).</w:t>
      </w:r>
    </w:p>
    <w:p>
      <w:pPr>
        <w:spacing w:line="240" w:lineRule="auto"/>
        <w:pStyle w:val="BodyText2"/>
      </w:pPr>
      <w:r>
        <w:t>In “The Problem of Metaphysics,” delivered to the WPA, Frederick James Eugene Woodbridge (1902–1903; 1911–1912) also grappled with the problems of the legitimation and demarcation of philosophy, focusing specifically on metaphysics. For Woodbridge, metaphysics was indispensable. Although they deny it, even when scientists such as Ernst Mach and Rodney Brooks question the conceptual assumptions of their scientific fields, they engage in metaphysical speculation and demonstrate its continued importance. Thus, for Woodbridge, metaphysics was an entirely separate field of knowledge from science. Science reveals the laws of the physical world through experimentation; metaphysics reveals the nature of reality through definition of concepts. He went on to assert that metaphysics is also separate from religion, and took umbrage with the “suspicion and the hope that metaphysicians are really poets or theologians in disguise” (1:64). Metaphysics, for Woodbridge, was a purely theoretical and logical endeavor.</w:t>
      </w:r>
    </w:p>
    <w:p>
      <w:pPr>
        <w:spacing w:line="240" w:lineRule="auto"/>
        <w:pStyle w:val="BodyText2"/>
      </w:pPr>
      <w:r>
        <w:t>In order to make progress, Woodbridge asserted, metaphysics must follow the lead of recent work in logic and epistemology in their return to “the immediate facts of life” for its subject matter (1:61). Much as Creighton asserted, Woodbridge believed that the study of history helps us understand our present situation and present problems. Specifically, from the history of metaphysics, Woodbridge averred that we have learned of:</w:t>
      </w:r>
    </w:p>
    <w:p>
      <w:pPr>
        <w:ind w:left="446"/>
        <w:spacing w:before="100" w:beforeAutospacing="0" w:after="100" w:afterAutospacing="0" w:line="240" w:lineRule="auto"/>
        <w:pStyle w:val="blockquote"/>
        <w:tabs>
          <w:tab w:val="clear" w:pos="215"/>
        </w:tabs>
      </w:pPr>
      <w:r>
        <w:t>the weaknesses in the evolutionary conception and in traditional terminology, the futility of the distinction between appearance and reality, the necessity of an independent metaphysics, the need of a logic of definition, the non-explanatory character of much of metaphysical knowledge, with a recognition of the value of such knowledge, the metaphysical failure of the distinction between epistemology and metaphysics. (1:66)</w:t>
      </w:r>
    </w:p>
    <w:p>
      <w:pPr>
        <w:spacing w:line="240" w:lineRule="auto"/>
        <w:pStyle w:val="BodyText"/>
      </w:pPr>
      <w:r>
        <w:t>He went on to assert that there may very well be other lessons, but these lessons seem particularly important.</w:t>
      </w:r>
    </w:p>
    <w:p>
      <w:pPr>
        <w:spacing w:line="240" w:lineRule="auto"/>
        <w:pStyle w:val="BodyText2"/>
      </w:pPr>
      <w:r>
        <w:rPr>
          <w:lang w:val="nl-NL"/>
        </w:rPr>
        <w:t>Woodbridge</w:t>
      </w:r>
      <w:r>
        <w:rPr>
          <w:lang w:val="fr-FR"/>
        </w:rPr>
        <w:t>’</w:t>
      </w:r>
      <w:r>
        <w:t>s debt to Aristotle was apparent as he derived five fundamental problems of metaphysics, which are: to define individuality, continuity, purpose, potentiality, and chance. In so doing, he believed that he had stated “the problem of metaphysics in terms of its most essential elements, and in independence of its concrete content” (1:72). Indeed, he maintained, “a complete definition of these concepts would be a very close approach to the complete definition of reality” (1:72).</w:t>
      </w:r>
    </w:p>
    <w:p>
      <w:pPr>
        <w:spacing w:line="240" w:lineRule="auto"/>
        <w:pStyle w:val="BodyText2"/>
      </w:pPr>
      <w:r>
        <w:t>Although Josiah Royce (1903–1904) focused on “pure pragmatism” in his “The Eternal and the Practical,” his address was a direct response to the newly emerging philosophy of pragmatism as seen in William James</w:t>
      </w:r>
      <w:r>
        <w:rPr>
          <w:lang w:val="fr-FR"/>
        </w:rPr>
        <w:t>’</w:t>
      </w:r>
      <w:r>
        <w:t xml:space="preserve">s (1906–1907) </w:t>
      </w:r>
      <w:r>
        <w:rPr>
          <w:i/>
        </w:rPr>
        <w:t>The Will to Believe</w:t>
      </w:r>
      <w:r>
        <w:rPr>
          <w:lang w:val="da-DK"/>
        </w:rPr>
        <w:t xml:space="preserve">, Dewey’s </w:t>
      </w:r>
      <w:r>
        <w:rPr>
          <w:i/>
        </w:rPr>
        <w:t>Studies in Logical Theory</w:t>
      </w:r>
      <w:r>
        <w:rPr>
          <w:lang w:val="nl-NL"/>
        </w:rPr>
        <w:t>, and F. C. S. Schiller</w:t>
      </w:r>
      <w:r>
        <w:rPr>
          <w:lang w:val="fr-FR"/>
        </w:rPr>
        <w:t>’</w:t>
      </w:r>
      <w:r>
        <w:t xml:space="preserve">s </w:t>
      </w:r>
      <w:r>
        <w:rPr>
          <w:i/>
          <w:lang w:val="pt-PT"/>
        </w:rPr>
        <w:t>Humanism</w:t>
      </w:r>
      <w:r>
        <w:rPr>
          <w:lang w:val="pt-PT"/>
        </w:rPr>
        <w:t>.</w:t>
      </w:r>
      <w:r>
        <w:rPr>
          <w:rStyle w:val="EndnoteReference"/>
          <w:lang w:val="pt-PT"/>
        </w:rPr>
        <w:endnoteReference w:id="22"/>
      </w:r>
      <w:r>
        <w:t xml:space="preserve"> As James and the other pragmatists would agree, Royce held that pragmatism in its simplest form can be traced to a variety of ancient sources, and that elements of it can be seen in Kant</w:t>
      </w:r>
      <w:r>
        <w:rPr>
          <w:lang w:val="fr-FR"/>
        </w:rPr>
        <w:t>’</w:t>
      </w:r>
      <w:r>
        <w:rPr>
          <w:lang w:val="de-DE"/>
        </w:rPr>
        <w:t>s distinction between pure and practical reas</w:t>
      </w:r>
      <w:r>
        <w:t>on, Fichte’s ethical idealism, and Hegel’s discussions of the resolution of conflicts between theoretical and practical reason.</w:t>
      </w:r>
      <w:r>
        <w:rPr>
          <w:rStyle w:val="EndnoteReference"/>
        </w:rPr>
        <w:endnoteReference w:id="23"/>
      </w:r>
      <w:r>
        <w:t xml:space="preserve"> As Royce opined, “pragmatism is ancient, is human, has been faced countless times before and will be considered countless times again, so long as men labor for the good, and long for the true” (1:78). Rather than a “startling new discover[y],” Royce held that he was dealing with a philosophical point of view, “old religions and social orders already made familiar to the wise men of yore” (1:78). Emphasizing pragmatism</w:t>
      </w:r>
      <w:r>
        <w:rPr>
          <w:lang w:val="fr-FR"/>
        </w:rPr>
        <w:t>’</w:t>
      </w:r>
      <w:r>
        <w:t>s history facilitates Royce’s analysis of what he saw as the central doctrine of all pragmatisms, steering clear of exegesis of recent texts.</w:t>
      </w:r>
    </w:p>
    <w:p>
      <w:pPr>
        <w:spacing w:line="240" w:lineRule="auto"/>
        <w:pStyle w:val="BodyText2"/>
      </w:pPr>
      <w:r>
        <w:t xml:space="preserve">Royce had some special credibility on the task he had set for himself. He already had an impressive publishing career, and, as he explained, he had embraced pragmatism himself, publishing article based on that point of view in the </w:t>
      </w:r>
      <w:r>
        <w:rPr>
          <w:i/>
        </w:rPr>
        <w:t>The Journal of Speculative Philosophy</w:t>
      </w:r>
      <w:r>
        <w:t xml:space="preserve"> in 1881.</w:t>
      </w:r>
      <w:r>
        <w:rPr>
          <w:rStyle w:val="EndnoteReference"/>
        </w:rPr>
        <w:endnoteReference w:id="24"/>
      </w:r>
      <w:r>
        <w:t xml:space="preserve"> By 1903, he had also been a colleague of James at Harvard for eleven years, a fact no doubt well known to his audience. However, in an effort to navigate above recent controversies about pragmatism, Royce stated that he would focus exclusively on a question of “eternal importance”: “How far is our knowledge identical with an expression of our practical needs?” (1:79). In what followed, Royce argued that pragmatists underestimate our need for truths that transcend temporal, practical needs.</w:t>
      </w:r>
    </w:p>
    <w:p>
      <w:pPr>
        <w:spacing w:line="240" w:lineRule="auto"/>
        <w:pStyle w:val="BodyText2"/>
      </w:pPr>
      <w:r>
        <w:t>Tellingly, Royce explained that he alloyed his pure pragmatism by supplementing it with a concept of “actual truth” (1:79). “Within its limits,” he asserted, pure pragmatism is “a partial statement of the truth” (1:80). Indeed, he provided a weighty laundry list of ways in which he still agreed with pragmatists. In short, he still believed that individual need shapes our mind</w:t>
      </w:r>
      <w:r>
        <w:rPr>
          <w:lang w:val="fr-FR"/>
        </w:rPr>
        <w:t>’</w:t>
      </w:r>
      <w:r>
        <w:t>s construction of its objects, that individuals actively perceive their world in search of solutions to immediate problems in concrete situations, and that this is not a finished world, but is one in the making. In a later passage, Royce declared allegiance to the view that all thinking is action because it is an adjustment to a present experience. Despite all that he had in common with pure pragmatism, and even one of the current variety, for example, Dewey, Royce interjected “that my only final hope, as a seeker of truth and as a human being, is in the eternal” (1:80). The eternal, argued Royce, follows from the fundamental human need for companionship.</w:t>
      </w:r>
    </w:p>
    <w:p>
      <w:pPr>
        <w:spacing w:line="240" w:lineRule="auto"/>
        <w:pStyle w:val="BodyText2"/>
      </w:pPr>
      <w:r>
        <w:t xml:space="preserve">Because companionship is one of our deepest human needs, Royce argued, we want our particular pragmatic truths to be true for others, as well as for ourselves. Stated in another way, when we claim that a belief is true, we want to claim more than that it meets our current conscious need because we want others to agree with us. To illustrate this point, Royce talked about the commitment that current pragmatists have to the truth of the theory of evolution. They claim that pragmatism is a corollary of evolution, demonstrating that philosophy and science have been reconciled, and thereby bequeathing exclusive credibility to pragmatism as a theory of truth. According to Royce, the then-present-day pragmatists abandoned pure pragmatism by claiming that the theory of evolution had been proven true in a more ultimate sense than pure pragmatism provides. </w:t>
      </w:r>
    </w:p>
    <w:p>
      <w:pPr>
        <w:spacing w:line="240" w:lineRule="auto"/>
        <w:pStyle w:val="BodyText2"/>
      </w:pPr>
      <w:r>
        <w:t>According to pure pragmatism, we can only say that a truth is true in our present situation, but the doctrine of evolution must be based on data collected from a vast number of objects, many of which existed a long time ago. Because of our fundamental need for companionship, Royce added, it is perfectly natural for pragmatists to want others to agree with their truth claims about evolution and about pragmatism itself. Indeed, opined Royce, “pure pragmatism would be, after all, a lonesome kind of doctrine” (1:88). We all want to be able to assert agreed upon standard truths, to be authorities on some topics.</w:t>
      </w:r>
    </w:p>
    <w:p>
      <w:pPr>
        <w:spacing w:line="240" w:lineRule="auto"/>
        <w:pStyle w:val="BodyText2"/>
      </w:pPr>
      <w:r>
        <w:t>This yearning for timeless truth, according to Royce, is part of what it means to be a rational being. Our rationality is bound up with our sociality:</w:t>
      </w:r>
    </w:p>
    <w:p>
      <w:pPr>
        <w:ind w:left="446"/>
        <w:spacing w:before="100" w:beforeAutospacing="0" w:after="100" w:afterAutospacing="0" w:line="240" w:lineRule="auto"/>
        <w:pStyle w:val="blockquote"/>
        <w:tabs>
          <w:tab w:val="clear" w:pos="215"/>
        </w:tabs>
      </w:pPr>
      <w:r>
        <w:t>In brief, to believe that my judgment is true, is to believe that another point of view than my present point of view, in case this other point of view is what it ought to be, actually confirms my own judgment about this object. This other point of view, however, is a point of view that relates to the same object, or else it could not be conceived as confirming my judgment about this object. (1:92–93)</w:t>
      </w:r>
    </w:p>
    <w:p>
      <w:pPr>
        <w:spacing w:line="240" w:lineRule="auto"/>
        <w:pStyle w:val="BodyText2"/>
      </w:pPr>
      <w:r>
        <w:t>The cognitive actions of finite beings are different from their other actions, Royce claimed, precisely because they believe their cognitive constructions ought to be seen as true by other beings like themselves. Our socio-rational nature requires us to be “more than pure pragmatists” (1:93). Moreover, for our truths to satisfy our natural needs, they have to be true, not only for ourselves or for a large number of people, but for an invariant, eternal single self, of which finite selves are partial functions. For Royce, without such a single self, we cannot have a coherent conception of truth. Otherwise, our cognitive constructions, our truth claims, are no more than singular attitudes, and not truths in any sense of the term. As Royce, phrased it, “if there is such a self, our need to make judgments that can be true or false is satisfied. If there is no such self, no judgment is either true or false” (1:97).</w:t>
      </w:r>
    </w:p>
    <w:p>
      <w:pPr>
        <w:spacing w:line="240" w:lineRule="auto"/>
        <w:pStyle w:val="BodyText2"/>
      </w:pPr>
      <w:r>
        <w:t>Thus, for Royce, “everything is practical; and everything seeks nothing whatever but its own true self, which is the Eternal” (1:96). It is not difficult to imagine how pragmatists might counter Royce</w:t>
      </w:r>
      <w:r>
        <w:rPr>
          <w:lang w:val="fr-FR"/>
        </w:rPr>
        <w:t>’</w:t>
      </w:r>
      <w:r>
        <w:t>s criticism. No doubt, they would deny the existence of Royce</w:t>
      </w:r>
      <w:r>
        <w:rPr>
          <w:lang w:val="fr-FR"/>
        </w:rPr>
        <w:t>’</w:t>
      </w:r>
      <w:r>
        <w:t>s absolute self or that individuals possess the natural needs Royce describes. Moreover, they would object that he equivocates on “truth.”</w:t>
      </w:r>
    </w:p>
    <w:p>
      <w:pPr>
        <w:spacing w:line="240" w:lineRule="auto"/>
        <w:pStyle w:val="BodyText2"/>
      </w:pPr>
      <w:r>
        <w:t>In “The Mission of Philosophy,” George Trumbull Ladd (1904–1905) declared that the “peculiar sphere of philosophy” should be to seek and find the “rational union” of the two worlds, the world of facts and the world of values (1:127). Although Ladd was critical of Kant, he accepted Kantian dualism, which is, of course, the traditional philosophical dualism dating back to the pre-Socratics. He rejected Kant</w:t>
      </w:r>
      <w:r>
        <w:rPr>
          <w:lang w:val="fr-FR"/>
        </w:rPr>
        <w:t>’</w:t>
      </w:r>
      <w:r>
        <w:t>s phenomenal realm, claiming that judgments of fact are not judgments about phenomena, but about the “actual qualities and relations of things and selves” (1:127). However, even value judgments, i.e., “aesthetical, ethical, and religious” issues, are judgments about facts that occur in experience. Philosophy</w:t>
      </w:r>
      <w:r>
        <w:rPr>
          <w:lang w:val="fr-FR"/>
        </w:rPr>
        <w:t>’</w:t>
      </w:r>
      <w:r>
        <w:t>s mission is to sort through the apparent conflicts between the two kinds of facts, and to harmonize them through rational examination because “the undying faith of humanity, is in a certain Oneness, or Unitary Being, which shall somehow both respond to, and explain, the totality of human experience” (1:127). There is no final conclusion to this task; it is a “progressive realization” (1:128). Every generation must engage in this task anew as science discovers new facts and as cultural conditions change. Rather than a “lifeless, substantial unity,” Ladd had in mind “a living functional unity” (1: 131). Man must be a growing self, “And what is true for the individual is true for society” (1:131).</w:t>
      </w:r>
    </w:p>
    <w:p>
      <w:pPr>
        <w:spacing w:line="240" w:lineRule="auto"/>
        <w:pStyle w:val="BodyText2"/>
      </w:pPr>
      <w:r>
        <w:t>Philosophers must study the discoveries of the particular sciences in order to recognize their ontological implications and to explain those implications to scientists and others. Thus, philosophers have to be willing to learn from scientists and teach them that science is as much “a theory of Reality” (1:134) as are more traditional philosophical subjects such as aesthetics, ethics, and religion. When philosophers fulfill the mission of philosophy, all of these disciplines work together to provide us a conception of “a perfect ethical Spirit” (1:135). Ladd emphasized that, although we live in an ever-evolving world of particular things, the evolving universe is also a cosmos. By “</w:t>
      </w:r>
      <w:r>
        <w:rPr>
          <w:lang w:val="es-ES-ts"/>
        </w:rPr>
        <w:t>cosmos,</w:t>
      </w:r>
      <w:r>
        <w:t>” Ladd seems to have meant that reality is a progressing, rational unity.</w:t>
      </w:r>
    </w:p>
    <w:p>
      <w:pPr>
        <w:spacing w:line="240" w:lineRule="auto"/>
        <w:pStyle w:val="BodyText2"/>
      </w:pPr>
      <w:r>
        <w:t>In this, we see the remaining vestiges of Ladd</w:t>
      </w:r>
      <w:r>
        <w:rPr>
          <w:lang w:val="fr-FR"/>
        </w:rPr>
        <w:t>’</w:t>
      </w:r>
      <w:r>
        <w:t xml:space="preserve">s liberal, Congregationalist theology combined with his vision of a developing society. This mindset is also evident in his comments on epistemological issues. Contra Kant, Ladd maintained that all knowledge requires the involvement of all faculties—“intellect, feeling, and will”—and, “cognitive judgment[s]” are “temporary solution[s]” problems (1:133). Here Ladd harkened back to his 1894 </w:t>
      </w:r>
      <w:r>
        <w:rPr>
          <w:i/>
        </w:rPr>
        <w:t>Psychology, Descriptive and Explanatory</w:t>
      </w:r>
      <w:r>
        <w:t>,</w:t>
      </w:r>
      <w:r>
        <w:rPr>
          <w:rStyle w:val="EndnoteReference"/>
        </w:rPr>
        <w:endnoteReference w:id="25"/>
      </w:r>
      <w:r>
        <w:rPr>
          <w:i/>
        </w:rPr>
        <w:t xml:space="preserve"> </w:t>
      </w:r>
      <w:r>
        <w:t>speaking of the individual as a rational, but also spiritual, unity with functional faculties, who must constantly adapt himself to a world that is forever in the making.</w:t>
      </w:r>
    </w:p>
    <w:p>
      <w:pPr>
        <w:spacing w:line="240" w:lineRule="auto"/>
        <w:pStyle w:val="BodyText2"/>
      </w:pPr>
      <w:r>
        <w:rPr>
          <w:lang w:val="de-DE"/>
        </w:rPr>
        <w:t>Dewey</w:t>
      </w:r>
      <w:r>
        <w:rPr>
          <w:lang w:val="fr-FR"/>
        </w:rPr>
        <w:t>’</w:t>
      </w:r>
      <w:r>
        <w:t>s 1905 presidential address, “Beliefs and Realities,” centered on an ongoing debate between pragmatists, such as himself, and realist and idealist philosophers in America. Although Dewey was already well established as an expert on public education and the philosophy of education, this address offered a wide-ranging assessment of philosophy itself. Indeed, this may very well be the most densely packed and perhaps provocative address in Volume 1.</w:t>
      </w:r>
      <w:r>
        <w:rPr>
          <w:rStyle w:val="EndnoteReference"/>
        </w:rPr>
        <w:endnoteReference w:id="26"/>
      </w:r>
    </w:p>
    <w:p>
      <w:pPr>
        <w:spacing w:line="240" w:lineRule="auto"/>
        <w:pStyle w:val="BodyText2"/>
      </w:pPr>
      <w:r>
        <w:t>Dewey</w:t>
      </w:r>
      <w:r>
        <w:rPr>
          <w:lang w:val="fr-FR"/>
        </w:rPr>
        <w:t>’</w:t>
      </w:r>
      <w:r>
        <w:t>s primary philosophical concern was reductionism. More specifically, he argued that philosophers tend to reduce all human experience to knowing experience. Twenty years earlier, he had begun to address this tendency with his conception of the “psychological standpoint,” according to which everything that appears, or more accurately occurs, in experience is real, because as finite creatures we cannot occupy a position beyond human experience in order to make extra-experiential judgments about reality.</w:t>
      </w:r>
      <w:r>
        <w:rPr>
          <w:rStyle w:val="EndnoteReference"/>
        </w:rPr>
        <w:endnoteReference w:id="27"/>
      </w:r>
      <w:r>
        <w:t xml:space="preserve"> In addition to knowing experiences, dreams, optical illusions, feelings, and imaginings, etc., are all real experiences, to Dewey, that function in a wide variety of ways in our everyday lives. Rather than discount non-knowing experiences as though they are barren of philosophical import on the assumption that they have little, if any, connection to extra-experiential reality, Dewey encouraged philosophers to acknowledge and reflect upon the full range of human experience. Indeed, for Dewey, human experience is the philosophers</w:t>
      </w:r>
      <w:r>
        <w:rPr>
          <w:lang w:val="fr-FR"/>
        </w:rPr>
        <w:t xml:space="preserve">’ </w:t>
      </w:r>
      <w:r>
        <w:rPr>
          <w:lang w:val="de-DE"/>
        </w:rPr>
        <w:t>exclusive, albeit expansive, realm of study.</w:t>
      </w:r>
      <w:r>
        <w:t xml:space="preserve"> Thus, by the time of this presidential address, the psychological standpoint and its implications had been a persistent theme in Dewey</w:t>
      </w:r>
      <w:r>
        <w:rPr>
          <w:lang w:val="fr-FR"/>
        </w:rPr>
        <w:t>’</w:t>
      </w:r>
      <w:r>
        <w:t xml:space="preserve">s writings for some time, perhaps most famously in his 1896 </w:t>
      </w:r>
      <w:r>
        <w:rPr>
          <w:i/>
        </w:rPr>
        <w:t>The Reflex Arc Concept in Psychology</w:t>
      </w:r>
      <w:r>
        <w:t>.</w:t>
      </w:r>
      <w:r>
        <w:rPr>
          <w:rStyle w:val="EndnoteReference"/>
        </w:rPr>
        <w:endnoteReference w:id="28"/>
      </w:r>
      <w:r>
        <w:t xml:space="preserve"> The key point, for Dewey, was always to argue for a richer philosophical conception of experience, which is, at once, a metaphysical, epistemological, and even a vocational point because it includes the recommendation of a broader conception of the philosophical craft. This sheds a great deal of light on passages like the following within the presidential address at hand:</w:t>
      </w:r>
    </w:p>
    <w:p>
      <w:pPr>
        <w:ind w:left="446"/>
        <w:spacing w:before="100" w:beforeAutospacing="0" w:after="100" w:afterAutospacing="0" w:line="240" w:lineRule="auto"/>
        <w:pStyle w:val="blockquote"/>
        <w:tabs>
          <w:tab w:val="clear" w:pos="215"/>
        </w:tabs>
      </w:pPr>
      <w:r>
        <w:t>Sensationalist and idealist, positivist and transcendentalist, materialist and spiritualist, defining this universe in as many differing ways as they have different conceptions of the ideal and method of knowledge, have been at one in their devotion to an identification of reality with something which connects monopolistically with passionless knowledge, belief purged of all personal reference, origin, and outlook. (1:160)</w:t>
      </w:r>
    </w:p>
    <w:p>
      <w:pPr>
        <w:ind w:left="0" w:firstLine="0"/>
        <w:spacing w:line="240" w:lineRule="auto"/>
        <w:pStyle w:val="BodyText2"/>
      </w:pPr>
      <w:r>
        <w:t>This passage highlights Dewey</w:t>
      </w:r>
      <w:r>
        <w:rPr>
          <w:lang w:val="fr-FR"/>
        </w:rPr>
        <w:t>’</w:t>
      </w:r>
      <w:r>
        <w:t xml:space="preserve">s concern that many different schools of philosophy, and perhaps that most philosophers, were guilty of reducing experience to knowing experience. This theme persisted throughout his mature works. </w:t>
      </w:r>
    </w:p>
    <w:p>
      <w:pPr>
        <w:spacing w:line="240" w:lineRule="auto"/>
        <w:pStyle w:val="BodyText2"/>
      </w:pPr>
      <w:r>
        <w:t>In the title of another 1905 essay, “The Postulate of Immediate Empiricism,” Dewey announced a new name for the psychological standpoint, emphasizing the full philosophical import of his conception of the philosopher</w:t>
      </w:r>
      <w:r>
        <w:rPr>
          <w:lang w:val="fr-FR"/>
        </w:rPr>
        <w:t>’</w:t>
      </w:r>
      <w:r>
        <w:t>s task.</w:t>
      </w:r>
      <w:r>
        <w:rPr>
          <w:rStyle w:val="EndnoteReference"/>
        </w:rPr>
        <w:endnoteReference w:id="29"/>
      </w:r>
      <w:r>
        <w:t xml:space="preserve"> In that work, Dewey continued to argue that philosophers must appreciate the full range of human experience in order to understand is. As an example, for Dewey, emotional experiences are equally real and important as knowing experiences, to both the individual and to the philosopher.</w:t>
      </w:r>
    </w:p>
    <w:p>
      <w:pPr>
        <w:spacing w:line="240" w:lineRule="auto"/>
        <w:pStyle w:val="BodyText2"/>
      </w:pPr>
      <w:r>
        <w:t>Returning to Dewey’s presidential address, however, we should pay some attention to a frequently overlooked footnote. When Dewey said above that idealists are guilty of this reductionism, he hastened to add an exception to that general rule:</w:t>
      </w:r>
    </w:p>
    <w:p>
      <w:pPr>
        <w:ind w:left="446"/>
        <w:spacing w:before="100" w:beforeAutospacing="0" w:after="100" w:afterAutospacing="0" w:line="240" w:lineRule="auto"/>
        <w:pStyle w:val="blockquote"/>
        <w:tabs>
          <w:tab w:val="clear" w:pos="215"/>
        </w:tabs>
      </w:pPr>
      <w:r>
        <w:t xml:space="preserve">I except Hegel from this statement. The habit of interpreting Hegel as a Neo- Kantian, a Kantian enlarged and purified, is a purely Anglo-American habit. This is no place to enter into the intricacies of Hegelian exegesis, but the subordination of both logical meaning and of mechanical existence to </w:t>
      </w:r>
      <w:r>
        <w:rPr>
          <w:i/>
        </w:rPr>
        <w:t>Geist</w:t>
      </w:r>
      <w:r>
        <w:t>, to life in its own developing movement, would seem to stand out in any unbiased view of Hegel. At all events, I wish to state the debt to Hegel of the view set forth in this paper. (1:170n4)</w:t>
      </w:r>
    </w:p>
    <w:p>
      <w:pPr>
        <w:spacing w:line="240" w:lineRule="auto"/>
        <w:pStyle w:val="BodyText"/>
      </w:pPr>
      <w:r>
        <w:t>This passage helps us understand Dewey</w:t>
      </w:r>
      <w:r>
        <w:rPr>
          <w:lang w:val="fr-FR"/>
        </w:rPr>
        <w:t>’</w:t>
      </w:r>
      <w:r>
        <w:t>s point more deeply. He was arguing that Hegel, of all philosophers, held the same expansive meaning of experience. Dewey made this point by distinguishing Hegel from philosophers that he called “neo-Kantians.” Elsewhere, I have argued that Dewey dubs at least some of the British neo-Hegelians, such as Thomas Hill Green, as neo-Kantians because they sought to ground knowledge in an unknowable thing-in-itself, thus reducing reality to a realm that, in principle, cannot be experienced and, at the same time, devaluing quotidian experience.</w:t>
      </w:r>
      <w:r>
        <w:rPr>
          <w:rStyle w:val="EndnoteReference"/>
        </w:rPr>
        <w:endnoteReference w:id="30"/>
      </w:r>
      <w:r>
        <w:t xml:space="preserve"> In this way, these philosophers elevate the realm of logical universals to an unknowable ground of knowledge and cast aspersion on the experience of the “common man” (1:159). </w:t>
      </w:r>
    </w:p>
    <w:p>
      <w:pPr>
        <w:ind w:left="0" w:firstLine="446"/>
        <w:spacing w:line="240" w:lineRule="auto"/>
        <w:pStyle w:val="BodyText"/>
      </w:pPr>
      <w:r>
        <w:t>On the other hand, according to Dewey, Hegel provided an example of a logic of lived experience by subordinating logical and “mechanical existence” to “life in its developing movement” (1:170). Dewey maintained that Hegel resisted the Kantian temptation to posit a thing-in-itself to ground knowledge. Nonetheless, Dewey also made clear that his allegiance, or non-allegiance, to Hegel is not the point. Never a disciple of any philosopher, Dewey merely deemed it to be important to acknowledge a crucial debt to Hegel.</w:t>
      </w:r>
    </w:p>
    <w:p>
      <w:pPr>
        <w:spacing w:line="240" w:lineRule="auto"/>
        <w:pStyle w:val="BodyText2"/>
      </w:pPr>
      <w:r>
        <w:t>Perhaps most importantly to his audience, Dewey</w:t>
      </w:r>
      <w:r>
        <w:rPr>
          <w:lang w:val="fr-FR"/>
        </w:rPr>
        <w:t>’</w:t>
      </w:r>
      <w:r>
        <w:t>s presidential address was part of a sustained attack on the “epistemological industry,” an attack worth considering in some detail.</w:t>
      </w:r>
      <w:r>
        <w:rPr>
          <w:rStyle w:val="EndnoteReference"/>
        </w:rPr>
        <w:endnoteReference w:id="31"/>
      </w:r>
      <w:r>
        <w:t xml:space="preserve"> This returns us to the main thrust of Dewey</w:t>
      </w:r>
      <w:r>
        <w:rPr>
          <w:lang w:val="fr-FR"/>
        </w:rPr>
        <w:t>’</w:t>
      </w:r>
      <w:r>
        <w:t>s address, which was that philosophers must move beyond epistemology-centered philosophy because it unduly narrows their task. Even so, Dewey also lamented that the then-current pressures of professionalization were reinforcing this narrowing of philosophy to something unrecognizable to “the common man” because it is useless to him. While “the professional man, the philosopher” nobly engages in a search for truth through “passionless imperturbability” and “absolute detachment,” the common man rightfully ignores him. As philosophers (epistemologists) retreat into their metaphorical laboratories, examining beliefs without regard for how they actually function within complex, evolving situations fraught with ethical and existential import, beliefs appear as discrete objects of analysis. This in turn leads the philosopher/epistemologist to assume, “ready-made and finished reality” must somehow correspond to beliefs so observed. In this way, the philosopher/epistemologist forgets, “beliefs are personal affairs, and personal affairs are adventures, and adventures are, if you please, shady.” In stark contrast, the common person formulates, asserts, and acts on beliefs in a world “of affections,” with “the gallantry of adventure, the genuineness of the incomplete, the tentative” (1:160).</w:t>
      </w:r>
    </w:p>
    <w:p>
      <w:pPr>
        <w:spacing w:line="240" w:lineRule="auto"/>
        <w:pStyle w:val="BodyText2"/>
      </w:pPr>
      <w:r>
        <w:t>If Dewey can be said to make a metaphysical point in this address, it was that there is not a finished reality for the philosopher/epistemologist to discover and define, because “the world has meaning as somebody</w:t>
      </w:r>
      <w:r>
        <w:rPr>
          <w:lang w:val="fr-FR"/>
        </w:rPr>
        <w:t>’</w:t>
      </w:r>
      <w:r>
        <w:t>s, somebody</w:t>
      </w:r>
      <w:r>
        <w:rPr>
          <w:lang w:val="fr-FR"/>
        </w:rPr>
        <w:t>’</w:t>
      </w:r>
      <w:r>
        <w:t>s at a juncture” (1:160). Again, according to Dewey, none of us can escape human experience in order to talk about what exists behind or beyond it. Philosophers, just like the common person, should face the world as we actually experience it.</w:t>
      </w:r>
    </w:p>
    <w:p>
      <w:pPr>
        <w:spacing w:line="240" w:lineRule="auto"/>
        <w:pStyle w:val="BodyText2"/>
      </w:pPr>
      <w:r>
        <w:t>In Tufts’s address, “Some Contributions of Psychology to the Conception of Justice,” given to the WPA in 1906, his longstanding interest in social justice and philosophical conceptions of justice was on full display, as was his debt to “</w:t>
      </w:r>
      <w:r>
        <w:rPr>
          <w:lang w:val="de-DE"/>
        </w:rPr>
        <w:t>Professor Dewey</w:t>
      </w:r>
      <w:r>
        <w:t>” (1:179). Much like Dewey, Tufts emphasized the individual</w:t>
      </w:r>
      <w:r>
        <w:rPr>
          <w:lang w:val="fr-FR"/>
        </w:rPr>
        <w:t>’</w:t>
      </w:r>
      <w:r>
        <w:t>s social context, eschewing formal conceptions of equality, rights, and justice that are removed from everyday life, in favor of the concrete realization of equitable and just social conditions. Having worked closely with Dewey at the University of Chicago from 1894 to 1904, Tufts was also profoundly influenced by the Hegelian contextualization of the individual and recent developments in psychology. As one reads the address, it becomes apparent that Tufts</w:t>
      </w:r>
      <w:r>
        <w:rPr>
          <w:lang w:val="fr-FR"/>
        </w:rPr>
        <w:t xml:space="preserve">’s </w:t>
      </w:r>
      <w:r>
        <w:t>commitment to institutions such as Hull House, the Institute for Juvenile Research, and the State Housing Commission was based on a philosophical outlook that champions the common person.</w:t>
      </w:r>
    </w:p>
    <w:p>
      <w:pPr>
        <w:spacing w:line="240" w:lineRule="auto"/>
        <w:pStyle w:val="BodyText2"/>
      </w:pPr>
      <w:r>
        <w:t>Tufts opened his address by arguing that the individual must be understood as developing from, and living within, a complex web of heredity and environmental inheritances. Perhaps borrowing directly from Dewey, he described this realization of man</w:t>
      </w:r>
      <w:r>
        <w:rPr>
          <w:lang w:val="fr-FR"/>
        </w:rPr>
        <w:t>’</w:t>
      </w:r>
      <w:r>
        <w:t>s social and biological nature as “the psychological standpoint.” Our gradually increasing understanding of the implications of that standpoint has been accompanied by a measured evolution of law and systems of justice, leading to a more painstaking circumscription of individual responsibility. Whereas “in early Germanic law the person was held responsible with little if any regard to his intent or personal agency” (1:179), now, when adjudging liability, we must not only consider who actually committed the crime, but also the social resources, or lack thereof, that entered into the individual</w:t>
      </w:r>
      <w:r>
        <w:rPr>
          <w:lang w:val="fr-FR"/>
        </w:rPr>
        <w:t>’</w:t>
      </w:r>
      <w:r>
        <w:t>s moral maturation. Consideration of actual social conditions, rather than exclusive focus on an individual</w:t>
      </w:r>
      <w:r>
        <w:rPr>
          <w:lang w:val="fr-FR"/>
        </w:rPr>
        <w:t>’</w:t>
      </w:r>
      <w:r>
        <w:t>s deed, allows society to move from merely abstract to concrete justice, an unequivocal advance for Tufts.</w:t>
      </w:r>
    </w:p>
    <w:p>
      <w:pPr>
        <w:spacing w:line="240" w:lineRule="auto"/>
        <w:pStyle w:val="BodyText2"/>
      </w:pPr>
      <w:r>
        <w:t>This discussion took Tufts to a consideration of distributive justice, inauspiciously, in the midst of the severe economic recession of 1906, which rapidly devolved into the 1907 Bankers’ Panic.</w:t>
      </w:r>
      <w:r>
        <w:rPr>
          <w:rStyle w:val="EndnoteReference"/>
        </w:rPr>
        <w:endnoteReference w:id="32"/>
      </w:r>
      <w:r>
        <w:t xml:space="preserve"> No radical, Tuft began with a nod to the importance of private property, but claimed:</w:t>
      </w:r>
    </w:p>
    <w:p>
      <w:pPr>
        <w:ind w:left="446"/>
        <w:spacing w:before="100" w:beforeAutospacing="0" w:after="100" w:afterAutospacing="0" w:line="240" w:lineRule="auto"/>
        <w:pStyle w:val="blockquote"/>
        <w:tabs>
          <w:tab w:val="clear" w:pos="215"/>
        </w:tabs>
      </w:pPr>
      <w:r>
        <w:t xml:space="preserve">our present system of distribution . . . results in such vast inequalities that we no longer count our millionaires, on the one hand, and, on the other, there are estimated to be in this most favored country ten millions of persons in poverty. (1:179–180) </w:t>
      </w:r>
    </w:p>
    <w:p>
      <w:pPr>
        <w:spacing w:line="240" w:lineRule="auto"/>
        <w:pStyle w:val="BodyText"/>
      </w:pPr>
      <w:r>
        <w:t>Although the American economic system purports to treat all persons as equals, for Tufts, that claim only makes sense when we view individuals in abstraction from their actual conditions. When we are honest about those conditions, he argued, it is clear that the playing field is tilted rather severely. Although he flirted with socialist ideas in this address, he was at most a social democrat, leery of utopianism of any kind. He freely admitted, “no distribution of property is likely to be just” (1:183), and, in a reference to President Theodore Roosevelt</w:t>
      </w:r>
      <w:r>
        <w:rPr>
          <w:lang w:val="fr-FR"/>
        </w:rPr>
        <w:t>’</w:t>
      </w:r>
      <w:r>
        <w:t>s political platform, conceded that Americans seems to want nothing more than a “square deal”—a modicum of equal opportunity—rather than equality of outcome (1:183). Tufts was uncritical of this American attitude toward distributive justice and even suggested that it was a sign of social health because psychology and religion both correctly warn of the dangers of being overly concerned with material wealth.</w:t>
      </w:r>
    </w:p>
    <w:p>
      <w:pPr>
        <w:spacing w:line="240" w:lineRule="auto"/>
        <w:pStyle w:val="BodyText2"/>
      </w:pPr>
      <w:r>
        <w:t>Rather than a redistribution of material wealth, Tufts advocated for a more equitable distribution of social resources. He shifted gears to a high note, lauding progressive democracy</w:t>
      </w:r>
      <w:r>
        <w:rPr>
          <w:lang w:val="fr-FR"/>
        </w:rPr>
        <w:t>’</w:t>
      </w:r>
      <w:r>
        <w:t>s rudimentary provision of urban parks, libraries, and public health services to the disadvantaged, and closed the address with a benign argument for more universal public education, albeit an education based on the vision of social justice that Tufts offered:</w:t>
      </w:r>
    </w:p>
    <w:p>
      <w:pPr>
        <w:ind w:left="446"/>
        <w:spacing w:before="100" w:beforeAutospacing="0" w:after="100" w:afterAutospacing="0" w:line="240" w:lineRule="auto"/>
        <w:pStyle w:val="blockquote"/>
        <w:tabs>
          <w:tab w:val="clear" w:pos="215"/>
        </w:tabs>
        <w:rPr>
          <w:lang w:val="da-DK"/>
        </w:rPr>
      </w:pPr>
      <w:r>
        <w:t xml:space="preserve">The basis for social justice in this sphere of mental goods is therefore an education which shall awaken mental and social interests; the superstructure of justice which we may hope will rise is a satisfaction of these interests by social means. </w:t>
      </w:r>
      <w:r>
        <w:rPr>
          <w:lang w:val="da-DK"/>
        </w:rPr>
        <w:t>(1:185)</w:t>
      </w:r>
    </w:p>
    <w:p>
      <w:pPr>
        <w:spacing w:line="240" w:lineRule="auto"/>
        <w:pStyle w:val="BodyText"/>
      </w:pPr>
      <w:r>
        <w:rPr>
          <w:lang w:val="da-DK"/>
        </w:rPr>
        <w:t>Put simply, Tufts</w:t>
      </w:r>
      <w:r>
        <w:rPr>
          <w:lang w:val="fr-FR"/>
        </w:rPr>
        <w:t xml:space="preserve">’s </w:t>
      </w:r>
      <w:r>
        <w:t xml:space="preserve">vision of social justice was that every individual should be given the resources each needs to fully develop its own aptitudes and talents. He claimed his recommendation was based on a realistic, rather than pessimistic, view of American society, one that upholds its democratic values without lapsing into mere paternalism because, in a democracy, “what is done through public agencies” </w:t>
      </w:r>
      <w:r>
        <w:rPr>
          <w:lang w:val="fr-FR"/>
        </w:rPr>
        <w:t xml:space="preserve">is done </w:t>
      </w:r>
      <w:r>
        <w:t>“by the people” (1: 186).</w:t>
      </w:r>
    </w:p>
    <w:p>
      <w:pPr>
        <w:spacing w:line="240" w:lineRule="auto"/>
        <w:pStyle w:val="BodyText2"/>
      </w:pPr>
      <w:r>
        <w:t xml:space="preserve">In his 1906 address, “The Energies of Men,” James’s iconoclastic approach to philosophical and religious issues was on full display. A medical doctor and psychologist by training, James was quite open to the scientific study of religious experience and volition, as evinced in works such as </w:t>
      </w:r>
      <w:r>
        <w:rPr>
          <w:i/>
        </w:rPr>
        <w:t>The Principles of Psychology</w:t>
      </w:r>
      <w:r>
        <w:t xml:space="preserve"> (1890), </w:t>
      </w:r>
      <w:r>
        <w:rPr>
          <w:i/>
        </w:rPr>
        <w:t xml:space="preserve">The Will to Believe </w:t>
      </w:r>
      <w:r>
        <w:t xml:space="preserve">(1897) and his Gifford Lectures, published as </w:t>
      </w:r>
      <w:r>
        <w:rPr>
          <w:i/>
        </w:rPr>
        <w:t>The Varieties of Religious Experience</w:t>
      </w:r>
      <w:r>
        <w:t xml:space="preserve"> (1902).</w:t>
      </w:r>
      <w:r>
        <w:rPr>
          <w:rStyle w:val="EndnoteReference"/>
        </w:rPr>
        <w:endnoteReference w:id="33"/>
      </w:r>
      <w:r>
        <w:t xml:space="preserve"> James also voiced his approval of the work of Gustav Fechner, famous as a founder of experimental psychology, but also for his willingness to take religious experience seriously as a subject of scientific study. Both men sought to study human experience in its entirety, including mystical experiences that other scientists did not take seriously.</w:t>
      </w:r>
    </w:p>
    <w:p>
      <w:pPr>
        <w:spacing w:line="240" w:lineRule="auto"/>
        <w:pStyle w:val="BodyText2"/>
      </w:pPr>
      <w:r>
        <w:t xml:space="preserve">James opened his address with an explanation of his preference for functional, over structural, psychology, the former of which he described as being the “physician’s attitude” (1:193). Structural psychology, according to James, is analytical, while functional psychology is clinical. From this distinction, one can surmise that James considered the former speculative, and the latter empirical. Having made that distinction rather summarily, James focused on what he considered to be a conception of functional psychology, at least as understood by the common person, which he described as “the </w:t>
      </w:r>
      <w:r>
        <w:rPr>
          <w:i/>
        </w:rPr>
        <w:t>amount of energy available</w:t>
      </w:r>
      <w:r>
        <w:t xml:space="preserve"> for running one’s mental and moral operations” (1:194). He conceded that scientists ignore the conception, probably because of its vagueness, but it was enough for him that it was a common conception. We are all familiar with the notion that we have reserves of energy that normally go untapped, often described as a “second wind,” thus it is a legitimate topic of study.</w:t>
      </w:r>
    </w:p>
    <w:p>
      <w:pPr>
        <w:spacing w:line="240" w:lineRule="auto"/>
        <w:pStyle w:val="BodyText2"/>
      </w:pPr>
      <w:r>
        <w:t>James was interested in what we normally call a “second wind.” “</w:t>
      </w:r>
      <w:r>
        <w:rPr>
          <w:i/>
        </w:rPr>
        <w:t xml:space="preserve">Excitements, ideas, and efforts, </w:t>
      </w:r>
      <w:r>
        <w:t>in a word, are what carry us over the dam” (1:195). In “hyperesthetic conditions,” we have a heightened sensitivity to our environment. “Habit-neurosis” inhibits us, leading us to give into a certain amount of fatigue. We have to learn to push through this in order to realize our full power.</w:t>
      </w:r>
    </w:p>
    <w:p>
      <w:pPr>
        <w:spacing w:line="240" w:lineRule="auto"/>
        <w:pStyle w:val="BodyText2"/>
      </w:pPr>
      <w:r>
        <w:t xml:space="preserve">Speaking of the emotions and energies that accompany experiences, which may spur individuals to rise to the occasion or fail, James remarked: </w:t>
      </w:r>
    </w:p>
    <w:p>
      <w:pPr>
        <w:ind w:left="446"/>
        <w:spacing w:before="100" w:beforeAutospacing="0" w:after="100" w:afterAutospacing="0" w:line="240" w:lineRule="auto"/>
        <w:pStyle w:val="blockquote"/>
        <w:tabs>
          <w:tab w:val="clear" w:pos="215"/>
        </w:tabs>
      </w:pPr>
      <w:r>
        <w:t>Even here we are witnessing (some of us admiring, some deploring—I must class myself as admiring) the dynamogenic effects of a very exalted political office upon the energies of an individual who had already manifested a healthy amount of energy before the office came. (1:196)</w:t>
      </w:r>
    </w:p>
    <w:p>
      <w:pPr>
        <w:spacing w:line="240" w:lineRule="auto"/>
        <w:pStyle w:val="BodyText"/>
      </w:pPr>
      <w:r>
        <w:t xml:space="preserve">This remark might have been an allusion to Theodore Roosevelt, United States President from 1901–1909, and infamous for his inability to be inactive. </w:t>
      </w:r>
    </w:p>
    <w:p>
      <w:pPr>
        <w:spacing w:line="240" w:lineRule="auto"/>
        <w:pStyle w:val="BodyText2"/>
      </w:pPr>
      <w:r>
        <w:t>James also gave examples of great energy and endurance during wars and the San Francisco earthquake and fire of 1906. He also talked about people who show great energy and endurance characterized by a “morbid impulse” (for example, bulimia, dromomania). “Sprees and excesses” can be temporarily medicinal (1:198). Asceticism can also be dynamogenic: “Ignatius Loyola’s spiritual exercises,” “the Yoga system” (1:198–199).</w:t>
      </w:r>
    </w:p>
    <w:p>
      <w:pPr>
        <w:spacing w:line="240" w:lineRule="auto"/>
        <w:pStyle w:val="BodyText2"/>
      </w:pPr>
      <w:r>
        <w:t>Our will is “the manometer of our faiths” (1:202). What we are willing to do shows how strong is our faith in something. James talked about how suggestion and asceticism (methodical or unmethodical) can liberate stored energy, and then talked about how ideas can do the same (1:202). Not all ideas will do this. It must be a “live idea” to the particular person. A religious oath, a religious vow, a pledge, a promise to a sweetheart, or one’s word of honor can be dynamogenic. “Fatherland,” “The Union,” “Holy Church,” the “Monroe Doctrine,” “Truth,” “Science,” “Liberty,” Garibaldi’s phrase “Rome or Death,” etc., are so many examples of energy-releasing abstract ideas, and he emphasized that all of these ideas have an essential “social nature.”</w:t>
      </w:r>
    </w:p>
    <w:p>
      <w:pPr>
        <w:spacing w:line="240" w:lineRule="auto"/>
        <w:pStyle w:val="BodyText2"/>
      </w:pPr>
      <w:r>
        <w:t>Conversion experiences can release energies because they remove inhibitions, giving us feelings of freedom and power. Beliefs challenge our will. James talked about “optimistic religions”—“New Thought,” “Christian Science,” “Metaphysical Healing,” or other forms of spiritual philosophy—that don’t depend on “fear thought” (1:204).</w:t>
      </w:r>
      <w:r>
        <w:rPr>
          <w:rStyle w:val="EndnoteReference"/>
        </w:rPr>
        <w:endnoteReference w:id="34"/>
      </w:r>
      <w:r>
        <w:t xml:space="preserve"> Interestingly, he ended on a quasi-Aristotelian note:</w:t>
      </w:r>
    </w:p>
    <w:p>
      <w:pPr>
        <w:ind w:left="446"/>
        <w:spacing w:before="100" w:beforeAutospacing="0" w:after="100" w:afterAutospacing="0" w:line="240" w:lineRule="auto"/>
        <w:pStyle w:val="blockquote"/>
        <w:tabs>
          <w:tab w:val="clear" w:pos="215"/>
        </w:tabs>
      </w:pPr>
      <w:r>
        <w:t>I have thus brought a pretty wide induction to bear upon my thesis, and it appears to hold good. The human individual lives usually far within his limits; he possesses powers of various sorts which he habitually fails to use. He energizes below his maximum, and he behaves below his optimum. In elementary faculty, in coördination, in power of inhibition and control, in every conceivable way, his life is contracted like the field of vision of an hysteric subject—but with less excuse, for the poor hysteric is diseased, while in the rest of us it is only an inveterate habit—the habit of inferiority to our full self—that is bad. (1:205)</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James’s study raises two problems for pragmatic philosophy: “that of our powers,” “that of our means.” We need a “topographic survey . . . of the limits of human power” (1:206).</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4. Professional Philosophers at Work</w:t>
      </w:r>
    </w:p>
    <w:p>
      <w:pPr>
        <w:spacing w:line="240" w:lineRule="auto"/>
        <w:pStyle w:val="BodyText"/>
      </w:pPr>
      <w:r>
        <w:t>Despite Dewey’s admonition to philosophers to avoid entanglements and dead-end entrapments set by utterly abstract and artificial intellectual puzzles, the puzzling would not be deterred. Professionalization meant specialization, and if a philosopher cannot control the technical terms and delimited scope of a specialized problem, what was the point of professional philosophy?</w:t>
      </w:r>
    </w:p>
    <w:p>
      <w:pPr>
        <w:spacing w:line="240" w:lineRule="auto"/>
        <w:pStyle w:val="BodyText2"/>
      </w:pPr>
      <w:r>
        <w:t xml:space="preserve">Walter Bowers Pillsbury’s (1906–1907) presidential address, “The Ego and Empirical Psychology,” tackled a set of assumptions about the substantial self, assumptions tracing back to Descartes and Hume: </w:t>
      </w:r>
    </w:p>
    <w:p>
      <w:pPr>
        <w:ind w:left="446"/>
        <w:spacing w:before="100" w:beforeAutospacing="0" w:after="100" w:afterAutospacing="0" w:line="240" w:lineRule="auto"/>
        <w:pStyle w:val="blockquote"/>
        <w:tabs>
          <w:tab w:val="clear" w:pos="215"/>
        </w:tabs>
      </w:pPr>
      <w:r>
        <w:t>Of the reasons that have been given for assuming a distinct mind, three are most prominent: (1) For the known there must be a knower; (2) the mental states can receive unity only from a unitary substance, and that we do not find in mental states; and (3) in a series of discrete mental states, such as Hume assumed to constitute mind, there can be no continuity, no real identity. (1:212)</w:t>
      </w:r>
    </w:p>
    <w:p>
      <w:pPr>
        <w:ind w:left="0" w:firstLine="0"/>
        <w:spacing w:line="240" w:lineRule="auto"/>
        <w:pStyle w:val="BodyText2"/>
      </w:pPr>
      <w:r>
        <w:t xml:space="preserve">The first principle is a typical insistence of idealists. Idealists who insist that known objects must be metaphysically united with the knower are not consistent, because within mental knowledge, they abruptly demand a divide between the known idea and the knowing self, a divide so great that only a knowing self could overcome. Furthermore, this principle leads to an infinite regress problem. How does the knowing self know its ideas that constitute its knowledge? There must be something else within this knowing self’s consciousness to represent that relationship between the known ideas and the knowing of them, and so on, leading to an infinite series of more and more stages of internal representations. (Readers may recognize an analogy to the Aristotelian Third Man problem.) To prevent the infinite regress, it is sufficient to admit that ideas can relate to, and ‘know’ each other in the relationship within consciousness. </w:t>
      </w:r>
    </w:p>
    <w:p>
      <w:pPr>
        <w:spacing w:line="240" w:lineRule="auto"/>
        <w:pStyle w:val="BodyText2"/>
      </w:pPr>
      <w:r>
        <w:t xml:space="preserve">This reasoning assists with the dissolution of the second principle upholding a substantial self. How would a self provide the allegedly required unity? Mental states enjoy a degree of unity in continuity, to be sure, but what would unity within a self provide? Unity within a whole self would dissolve what is admittedly genuine, namely the distinctiveness and discreteness to mental states. Finally, a substantial self absorbing and unifying discrete mental states could not really yield identity. Adding something to each and every mental state would not erect a general sense that they all have a common basis. Pillsbury faulted a lack of cooperation between theorizing about the mental functions that thought performs, and postulating structures that organize the mind: “structure and function must be brought together and made parts of a single whole” (1:214). </w:t>
      </w:r>
    </w:p>
    <w:p>
      <w:pPr>
        <w:spacing w:line="240" w:lineRule="auto"/>
        <w:pStyle w:val="BodyText2"/>
      </w:pPr>
      <w:r>
        <w:t>Pillsbury went on to remind his audience that the brain retains remembered experiences, which in turn shape and interpret new ongoing experiences; therefore, no ideas are entirely original in perception and no cognitive function operates aloof from that ongoing groupings and re-groupings of experiences. He further suggested that our perception of a continuous and identical self is due to the way that our distinctive selves for private and public engagements all depend on this core mass of accumulated interpreted experience. A preoccupation with that core brought to subjective focus for its own sake, however, does not really reveal any “substantial” foundation for everything mental. He asserted, “self-consciousness, then, as an individual as opposed to a social fact, is not a mystery or even a privilege; it is a luxury, a satisfaction of idle curiosity, and that by quite simple means” (1:212). What about the genuinely empirical self, so far as scientific psychology can understand it? This is Pillsbury’s thesis:</w:t>
      </w:r>
    </w:p>
    <w:p>
      <w:pPr>
        <w:ind w:left="446"/>
        <w:spacing w:before="100" w:beforeAutospacing="0" w:after="100" w:afterAutospacing="0" w:line="240" w:lineRule="auto"/>
        <w:pStyle w:val="blockquote"/>
        <w:tabs>
          <w:tab w:val="clear" w:pos="215"/>
        </w:tabs>
      </w:pPr>
      <w:r>
        <w:t>The self is merely all that we are and know, organized, self-unified, and self-identical, a growing vital unity that as a whole is effective in every experience. When it is directed toward the control of action, we know it as will; when choosing from the many stimuli that offer, as attention; when interpreting the stimulus, as perception or judgment; when constructing new forms from old experiences, as reason. But it is the same everywhere, always active, and active in very much the same way in every kind of mental process. (1:224)</w:t>
      </w:r>
    </w:p>
    <w:p>
      <w:pPr>
        <w:spacing w:line="240" w:lineRule="auto"/>
        <w:pStyle w:val="BodyText2"/>
      </w:pPr>
      <w:r>
        <w:t>Harry Norman Gardiner (1907–1908), like Pillsbury, directed his discussion, in “The Problem of Truth,” against metaphysical presumptions that make truth more of a mystery than a concrete achievement. His initial target was absolute idealism, which expects all truths to cohere within a single vast interconnected system. That whole system is admittedly unknowable, so erecting a criterion for any particular truth that it be a part of this system is unworkable in practice. True propositions should be recognizable as individual truths, regardless of the proper place in any system, and irrespective of how they stand in logical relations to other truth:</w:t>
      </w:r>
    </w:p>
    <w:p>
      <w:pPr>
        <w:ind w:left="446"/>
        <w:spacing w:before="100" w:beforeAutospacing="0" w:after="100" w:afterAutospacing="0" w:line="240" w:lineRule="auto"/>
        <w:pStyle w:val="blockquote"/>
        <w:tabs>
          <w:tab w:val="clear" w:pos="215"/>
        </w:tabs>
      </w:pPr>
      <w:r>
        <w:t>Truths differ in value and significance; some are trivial, some perhaps sublime. But, apart from special theory, there is no apparent reason why a proposition about even so trivial a circumstance as the present state of the weather—which indeed may be important enough on occasion—should not be as true as the truest propositions about such exalted objects as the existence of God, the constitution of the universe, and the destiny of the human soul. (1:230)</w:t>
      </w:r>
    </w:p>
    <w:p>
      <w:pPr>
        <w:spacing w:line="240" w:lineRule="auto"/>
        <w:pStyle w:val="BodyText2"/>
      </w:pPr>
      <w:r>
        <w:t xml:space="preserve">If propositions can be true taken singly, then a true proposition picks out, not all of reality or reality in general, but exactly that portion of reality intended by the meaning of the proposition. This implies an intellectual relation between proposition and fact, which is a kind of representationalism, but it takes a neutral approach, prejudiced toward neither idealism nor dualism. Pragmatism fails to do justice to the way that most true propositions answer to facts without any possibility of human verification. Additionally, pragmatism counter-intuitively takes verified facts to depend on the means of verification, but then there is no explanation why pre-existing facts should be verifiable. Finally, pragmatists want truths to be relative to someone or another’s own needs, but they inconsistently want their pragmatist theory to be universally and logically valid. </w:t>
      </w:r>
    </w:p>
    <w:p>
      <w:pPr>
        <w:spacing w:line="240" w:lineRule="auto"/>
        <w:pStyle w:val="BodyText2"/>
      </w:pPr>
      <w:r>
        <w:t xml:space="preserve">Frank Chapman Sharp’s (1907–1908) address, “The Objectivity of the Moral Judgment,” was concerned with the question of whether assigning truth or falsity to a moral judgment can be rightly done independently of individual attitudes about that judgment. Sharp affirmed that this can be done, and impartiality is, therefore, the needed methodological step. An objective judgment appeals to facts of the matter about the situation in question, facts that can be ascertained from an impartial perspective, omitting subjective interests. </w:t>
      </w:r>
    </w:p>
    <w:p>
      <w:pPr>
        <w:spacing w:line="240" w:lineRule="auto"/>
        <w:pStyle w:val="BodyText2"/>
      </w:pPr>
      <w:r>
        <w:t xml:space="preserve">Moral judgments are not inferred from facts, but they make reference to relevant justificatory facts. Furthermore, if all of those facts stand unaffected regardless which person happens to examine them, then that moral judgment can be considered to be objective. Hence, what one member of a community can impartially judge to be right, any member of that community should be able to judge as right. This requirement of consistency applies to each person individually as well: a reasonable person must reconsider two moral judgments if they cannot both be objectively correct. </w:t>
      </w:r>
    </w:p>
    <w:p>
      <w:pPr>
        <w:spacing w:line="240" w:lineRule="auto"/>
        <w:pStyle w:val="BodyText2"/>
      </w:pPr>
      <w:r>
        <w:t>In the ordinary moral life of intuitive judgment, by contrast, four basic kinds of criteria for moral conduct appear to be widely operative. We sometimes appeal to the greater good achieved. Sometimes we demand vengeance in defense of what is right, regardless of whether any additional good may come of it. At other times, our aesthetic sense of the beauty or idealized form to an action earns our admiration. Finally, a direct sense of antipathy or revulsion attaches to kinds of conduct to immediately convey their wrongness.</w:t>
      </w:r>
      <w:r>
        <w:rPr>
          <w:rStyle w:val="EndnoteReference"/>
        </w:rPr>
        <w:endnoteReference w:id="35"/>
      </w:r>
    </w:p>
    <w:p>
      <w:pPr>
        <w:spacing w:line="240" w:lineRule="auto"/>
        <w:pStyle w:val="BodyText2"/>
      </w:pPr>
      <w:r>
        <w:t>Sharp then subjected these four bases of common-sense moral judgment to his test for moral objectivity. Vengeance promptly fails; impartiality cannot license retaliation for its own sake. The aesthetic ideal cannot be universalized either without destroying too many good people. As for eudaimonism, although we have universalizable duties to increase the good of others when we are able, that cannot go so far as pure altruism (for some must be deserving of keeping charity). With moderation in mind, “choose always the greater good” is the single general principle that can pass the test of objectivity (1:263).</w:t>
      </w:r>
    </w:p>
    <w:p>
      <w:pPr>
        <w:spacing w:line="240" w:lineRule="auto"/>
        <w:pStyle w:val="BodyText2"/>
      </w:pPr>
      <w:r>
        <w:t xml:space="preserve">The address of Hugo Münsterberg (1908–1909), “The Problem of Beauty,” reproached philosophers for largely ignoring aesthetics and the philosophy of beauty. Although psychology has been assisting, too many rival theories fail to agree on the phenomena to be explained, or the principles available to explain the beautiful. What almost all have in common is the assumption that whatever the content of the aesthetic experience, or the psycho-physiological processes generating those experiences, it is precisely a sense of lingering pleasure or enjoyment that characterizes beauty. The way that psychology has been allowed to analyze phenomena down to passing feelings and sensations is behind that misleading presumption. </w:t>
      </w:r>
    </w:p>
    <w:p>
      <w:pPr>
        <w:spacing w:line="240" w:lineRule="auto"/>
        <w:pStyle w:val="BodyText2"/>
      </w:pPr>
      <w:r>
        <w:t>First, the aesthetic phenomenon is not anything like what the psychologist describes it to be. It is unified (no subject-object division appears) and it is reliably objective (instead of fleetingly subjective). Furthermore, the aesthetic is available everywhere that experience goes, if we willingly take it to be of aesthetic interest. In fact, every will’s determination to live in a real ordered world (and not a cacophony of sensations) proves that such a reality must be eternally objective compared to the subjectivity of personal desire. That harmonization, that beauty, reigns supreme:</w:t>
      </w:r>
    </w:p>
    <w:p>
      <w:pPr>
        <w:ind w:left="446"/>
        <w:spacing w:before="100" w:beforeAutospacing="0" w:after="100" w:afterAutospacing="0" w:line="240" w:lineRule="auto"/>
        <w:pStyle w:val="blockquote"/>
        <w:tabs>
          <w:tab w:val="clear" w:pos="215"/>
        </w:tabs>
      </w:pPr>
      <w:r>
        <w:t>The beautiful may be pleasant and agreeable but it is never beautiful because it is agreeable. It is beautiful because it is perfect, because every demand which is raised in its manifoldness is completely satisfied by the will of the other parts. The objective satisfaction resulting from the will to have such a perfect self-agreeing world is the only aesthetic attitude; the subjective satisfaction resulting from the chance desires of the personality is the practical attitude which may change with every man and with every hour and which lies below the level of aesthetics. (1:280)</w:t>
      </w:r>
    </w:p>
    <w:p>
      <w:pPr>
        <w:spacing w:line="240" w:lineRule="auto"/>
        <w:pStyle w:val="BodyText"/>
      </w:pPr>
      <w:r>
        <w:t xml:space="preserve">The grand harmonization of wills as an ideal and as a reality is an absolute value, which transcends ethics as well as any aggregation of personal satisfaction. Any artwork, if it has genius in it, is an individual expression of will directing the mind toward that ultimate value. </w:t>
      </w:r>
    </w:p>
    <w:p>
      <w:pPr>
        <w:spacing w:line="240" w:lineRule="auto"/>
        <w:pStyle w:val="BodyText2"/>
      </w:pPr>
      <w:r>
        <w:t>Similarly, science’s drive to systematically reconstruct all things into a logical system of interrelated entities is an expression of this same willful drive to absolute harmony in unity:</w:t>
      </w:r>
    </w:p>
    <w:p>
      <w:pPr>
        <w:ind w:left="446"/>
        <w:spacing w:before="100" w:beforeAutospacing="0" w:after="100" w:afterAutospacing="0" w:line="240" w:lineRule="auto"/>
        <w:pStyle w:val="blockquote"/>
        <w:tabs>
          <w:tab w:val="clear" w:pos="215"/>
        </w:tabs>
      </w:pPr>
      <w:r>
        <w:t>The aesthetical value of beautiful unity and the logical value of connected existence are thus equally fulfillments of the over-personal, absolute demand for the self-realization of a world in this chaotic experience. (1:287)</w:t>
      </w:r>
    </w:p>
    <w:p>
      <w:pPr>
        <w:spacing w:line="240" w:lineRule="auto"/>
        <w:pStyle w:val="BodyText2"/>
        <w:tabs>
          <w:tab w:val="left" w:pos="1350" w:leader="none"/>
        </w:tabs>
      </w:pPr>
      <w:r>
        <w:t xml:space="preserve">By coincidence rather than design, </w:t>
      </w:r>
      <w:r>
        <w:rPr>
          <w:lang w:val="de-DE"/>
        </w:rPr>
        <w:t>Arthur (Schauffler) Oncken</w:t>
      </w:r>
      <w:r>
        <w:t xml:space="preserve"> Lovejoy’s (1908–1909; 1916–1917) address, “The Obsolescence of the Eternal” took an antagonistic position over against Münsterberg’s affirmation of absolute totalities. Lovejoy defended an evolutionary metaphysics, of not merely change and development over time, but the addition of real positive characters and beings to the total cosmos. Against materialism and its conservation laws, Lovejoy defended dualism, claiming that the emergence of qualitative experience from early organisms added just those original positive realities to physical realities. </w:t>
      </w:r>
    </w:p>
    <w:p>
      <w:pPr>
        <w:spacing w:line="240" w:lineRule="auto"/>
        <w:pStyle w:val="BodyText2"/>
      </w:pPr>
      <w:r>
        <w:t>Lovejoy argued that qualitative experience cannot even be predicted from, much less reduced to, physical arrangements of matter in this way:</w:t>
      </w:r>
    </w:p>
    <w:p>
      <w:pPr>
        <w:ind w:left="446"/>
        <w:spacing w:before="100" w:beforeAutospacing="0" w:after="100" w:afterAutospacing="0" w:line="240" w:lineRule="auto"/>
        <w:pStyle w:val="blockquote"/>
        <w:tabs>
          <w:tab w:val="clear" w:pos="215"/>
        </w:tabs>
      </w:pPr>
      <w:r>
        <w:t xml:space="preserve">Suppose that in the course of the redistribution of matter and energy, sentient organisms have already appeared; suppose that in one of these organisms there is about to occur the first rudimentary experience of color-vision; and suppose that there hovers above the scene, at the moment, [Pierre-Simone] Laplace’s perfect physical calculator, a being fully acquainted with the quantity of matter and energy present in the universal system and with the unchanging laws of their distribution, but destitute of any experience or idea of any of the secondary qualities. . . . He will also know, as a detail of this distribution, that there will occur just that arrangement of moving parts in the ether and in what we now call the rudimentary eye of the organism, which </w:t>
      </w:r>
      <w:r>
        <w:rPr>
          <w:i/>
        </w:rPr>
        <w:t>we</w:t>
      </w:r>
      <w:r>
        <w:t xml:space="preserve"> know to be the invariable correlate of the sensation of red. But </w:t>
      </w:r>
      <w:r>
        <w:rPr>
          <w:i/>
        </w:rPr>
        <w:t>he</w:t>
      </w:r>
      <w:r>
        <w:t xml:space="preserve"> will not know anything of the sort, nor have the least ground, in his perfect acquaintance with the laws of his qualitatively uniform system, for suspecting that anything so strange is about to happen as the sudden appearance of sensible redness in the universe. (1:302)</w:t>
      </w:r>
    </w:p>
    <w:p>
      <w:pPr>
        <w:spacing w:line="240" w:lineRule="auto"/>
        <w:pStyle w:val="BodyText"/>
      </w:pPr>
      <w:r>
        <w:t>This sort of argument has reappeared in each generation.</w:t>
      </w:r>
      <w:r>
        <w:rPr>
          <w:rStyle w:val="EndnoteReference"/>
        </w:rPr>
        <w:endnoteReference w:id="36"/>
      </w:r>
    </w:p>
    <w:p>
      <w:pPr>
        <w:spacing w:line="240" w:lineRule="auto"/>
        <w:pStyle w:val="BodyText2"/>
      </w:pPr>
      <w:r>
        <w:t xml:space="preserve">Lovejoy next argued that metaphysical eternalities cannot have any real relationship with events proceeding in time; hence, the eternal lacks any explanatory power to account for temporal processes. Supernatural eternalities are powerless to affect the evolving world, and some type of eternal transcendental Self behind mental appearances must be similarly bereft of control over our mental life. Eternal Selves, whether divine or human, cannot have any practical utility for making real-world moral decisions, either. </w:t>
      </w:r>
    </w:p>
    <w:p>
      <w:pPr>
        <w:spacing w:line="240" w:lineRule="auto"/>
        <w:pStyle w:val="BodyText2"/>
      </w:pPr>
      <w:r>
        <w:t xml:space="preserve">Lovejoy’s diagnosis for this philosophical obsession with the metaphysically eternal goes back to theological struggles with resolving the problem of evil so that divine goodness may be assured. However, we should ask, why the philosopher must misuse reasoning to try to save both the eternal and the temporal: </w:t>
      </w:r>
    </w:p>
    <w:p>
      <w:pPr>
        <w:ind w:left="446"/>
        <w:spacing w:before="100" w:beforeAutospacing="0" w:after="100" w:afterAutospacing="0" w:line="240" w:lineRule="auto"/>
        <w:pStyle w:val="blockquote"/>
        <w:tabs>
          <w:tab w:val="clear" w:pos="215"/>
        </w:tabs>
      </w:pPr>
      <w:r>
        <w:t>There are, I incline to think, only two types of philosophy that quite thoroughly know what they are about—Oriental illusionism and thorough-going temporalism—Shankara and Heraclitus. And between these alternatives I do not find it possible to hesitate. The eternal is, then, I think, the characteristic but not necessarily incorrigible distemper of adolescent metaphysics. So long as the belief in it has prevailed, it has produced in philosophy logical irresponsibility, an unwholesome sort of otherworldliness, and an intellectual priggishness based upon the idea that the philosopher was dealing with a finer, higher, more elegant class of realities than those with which the common man or the scientist were concerned. (1:311)</w:t>
      </w:r>
    </w:p>
    <w:p>
      <w:pPr>
        <w:spacing w:line="240" w:lineRule="auto"/>
        <w:pStyle w:val="BodyText2"/>
      </w:pPr>
      <w:r>
        <w:t xml:space="preserve">The topic of evolutionary philosophy was the subject of “The Philosophical Aspects of Evolution,” given by John Grier Hibben (1909–1910). Befitting the centennial of Darwin’s birth, which provided the theme to many academic addresses around the country at that time, Hibben offered some assessments of the impact of evolutionary thought. </w:t>
      </w:r>
    </w:p>
    <w:p>
      <w:pPr>
        <w:spacing w:line="240" w:lineRule="auto"/>
        <w:pStyle w:val="BodyText2"/>
      </w:pPr>
      <w:r>
        <w:t xml:space="preserve">Three philosophical concerns were raised by Darwinian evolution, which have taken clearer forms, but still await answers. First, while humanity arose from non-human animals, to what extent did we evolve to be more than just animals, and acquire some higher worth? Our capacity for self-knowledge and potentially endless self-progression as a species appears to be unique among animals. Second, are there any legitimate teleological factors within human nature, even if external destinies are not compatible with evolution? After all, human beings are able to freely plan and executive vast designs and modifications to anything and everything, intelligently shaping the world through our own goals. Third, can the processes of life be comprehended to the point where all features of conscious and intellectual life are just physiological? Hibben held out hope that biology would discover the orderly regularities within all processes of life, down to the molecular level. He believed that thought would be understood to be an organic process, lawfully organizing nervous energies for living an active life. </w:t>
      </w:r>
    </w:p>
    <w:p>
      <w:pPr>
        <w:spacing w:line="240" w:lineRule="auto"/>
        <w:pStyle w:val="BodyText2"/>
      </w:pPr>
      <w:r>
        <w:t xml:space="preserve">Hibben finally identified a fault with philosophers, such as Bergson and James, who first suppose that anything conceptual must be rigid and alien to the flux of experience. Knowledge, especially scientific knowledge wielding its flexible and growing concepts, can successfully interpret experience without being false to it. </w:t>
      </w:r>
    </w:p>
    <w:p>
      <w:pPr>
        <w:spacing w:line="240" w:lineRule="auto"/>
        <w:pStyle w:val="BodyText2"/>
        <w:rPr>
          <w:lang w:val="de-DE"/>
        </w:rPr>
      </w:pPr>
      <w:r>
        <w:t xml:space="preserve">This decade’s final presidential address was delivered by psychologist </w:t>
      </w:r>
      <w:r>
        <w:rPr>
          <w:lang w:val="de-DE"/>
        </w:rPr>
        <w:t xml:space="preserve">Carl Emil Seashore (Sjoestrand) </w:t>
      </w:r>
      <w:r>
        <w:t>(1909–1910). His address, “The Play Impulse and Attitude in Religion” sought a deep relationship between enjoyable self-expression, the role of play for the healthy realization of life in activities, and the essential role religion play in the developed life.</w:t>
      </w:r>
      <w:r>
        <w:rPr>
          <w:lang w:val="de-DE"/>
        </w:rPr>
        <w:t xml:space="preserve"> </w:t>
      </w:r>
      <w:r>
        <w:t>He elucidated the deep connection between play and religion in this manner:</w:t>
      </w:r>
    </w:p>
    <w:p>
      <w:pPr>
        <w:ind w:left="446"/>
        <w:spacing w:before="100" w:beforeAutospacing="0" w:after="100" w:afterAutospacing="0" w:line="240" w:lineRule="auto"/>
        <w:pStyle w:val="blockquote"/>
        <w:tabs>
          <w:tab w:val="clear" w:pos="215"/>
        </w:tabs>
      </w:pPr>
      <w:r>
        <w:t>Religious life is the crown of life. It is the richest and most varied of our natures; yet it involves no faculty which is peculiarly or specifically religious. It is through our senses, our memory, our reasoning, our feelings, and our actions that we are religious. Then if play is the means of growth and a large source of enjoyment, as has just been maintained, it is this for religious life just as it is for social, ethical, or business life. And this is my thesis: Play is a preparation for religious life, and one of the chief means of its realization. We become religious through play and to be religious is often to play. (1:343)</w:t>
      </w:r>
    </w:p>
    <w:p>
      <w:pPr>
        <w:spacing w:line="240" w:lineRule="auto"/>
        <w:pStyle w:val="BodyText"/>
      </w:pPr>
      <w:r>
        <w:t>He found the essence of the religious life in the transformative energies released by imaginative performances, elevating play to a level of entrancing “fascination”:</w:t>
      </w:r>
    </w:p>
    <w:p>
      <w:pPr>
        <w:ind w:left="446"/>
        <w:spacing w:before="100" w:beforeAutospacing="0" w:after="100" w:afterAutospacing="0" w:line="240" w:lineRule="auto"/>
        <w:pStyle w:val="blockquote"/>
        <w:tabs>
          <w:tab w:val="clear" w:pos="215"/>
        </w:tabs>
      </w:pPr>
      <w:r>
        <w:t>The most effective play is characterized by the experience of fascination. . . . This element of fascination or elation with mental intoxication may be seen in some degree in all play, be it the romping of the infant, the adolescent mating plays, the sport of youth, or the successful pastime of the adult. And this element of fascination and elation is one of the characteristics of religious life. . . . Religious devotion, religious faith, religious fervor, from that of the ignorant believer to that of the dominating seer and prophet, reveal this trait. The history of conversion, revivals, and great religious movements need not be reviewed to substantiate this claim. (1:344)</w:t>
      </w:r>
    </w:p>
    <w:p>
      <w:pPr>
        <w:spacing w:line="240" w:lineRule="auto"/>
        <w:pStyle w:val="BodyText2"/>
      </w:pPr>
      <w:r>
        <w:t>Seashore enumerated several additional personal and social benefits from religious performances in play, such as the development of personality, social fellowship, finding joy in life, and appreciating mysterious and transcendent matters in a relatable way.</w:t>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sz w:val="18"/>
        </w:r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keepNext w:val="0"/>
        <w:pStyle w:val="Heading1"/>
      </w:pPr>
      <w:r/>
      <w:bookmarkStart w:id="65" w:name="A_MOMENT_OF_SHINING_RELEVANCE"/>
      <w:r>
        <w:t>A MOMENT OF SHINING RELEVANCE</w:t>
      </w:r>
      <w:bookmarkEnd w:id="65"/>
      <w:r>
        <w:t>: PROFESSIONAL PHILOSOPHY, 1911–1920</w:t>
      </w:r>
    </w:p>
    <w:p>
      <w:pPr>
        <w:spacing w:after="160" w:afterAutospacing="0" w:line="240" w:lineRule="auto"/>
        <w:jc w:val="center"/>
        <w:pStyle w:val="BodyText"/>
        <w:rPr>
          <w:sz w:val="24"/>
        </w:rPr>
      </w:pPr>
      <w:r>
        <w:t>Randall Auxier</w:t>
      </w:r>
    </w:p>
    <w:p>
      <w:pPr>
        <w:jc w:val="both"/>
        <w:rPr>
          <w:rFonts w:ascii="Times New Roman" w:hAnsi="Times New Roman" w:eastAsia="Times New Roman"/>
          <w:sz w:val="20"/>
          <w:color w:val="auto"/>
        </w:rPr>
      </w:pPr>
      <w:r>
        <w:rPr>
          <w:rFonts w:ascii="Times New Roman" w:hAnsi="Times New Roman" w:eastAsia="Times New Roman"/>
          <w:sz w:val="20"/>
          <w:color w:val="auto"/>
        </w:rPr>
        <w:t>From our vantage point of the twenty-first century, it can be difficult to understand what it was like before the outbreak of the Great War—as they called it before the Even Greater War made that name obsolete. Several generations of Europeans had gone to their graves with an ever increasing sense that after the Napoleonic Wars, the fundamental conflicts that divided Europe had been settled, the wars were over, and civilization had triumphed. Yes, there was that disappointing conflict between France and Prussia, but it had been brief and the Prussians had behaved in a more or less humane fashion, requiring only that honor and dignity be restored to them, and then leaving the French to sort out their mistakes. It was not a bloodless affair by any means, but by 1910, it was a distant memory and gladly pushed into history. Yes, there had been some conflict among the European powers as they divided the world among themselves, but these had been handled by treaties after conflicts that, from the safety of Europe, seemed like skirmishes—skirmishes like the Boer Wars.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With the exception of the problems on the fringes of the various empires, which were very much to be expected among those who have read any history, the Europeans had settled into something like a </w:t>
      </w:r>
      <w:r>
        <w:rPr>
          <w:rFonts w:ascii="Times New Roman" w:hAnsi="Times New Roman" w:eastAsia="Times New Roman"/>
          <w:sz w:val="20"/>
          <w:i/>
          <w:color w:val="auto"/>
        </w:rPr>
        <w:t>pax brittanica</w:t>
      </w:r>
      <w:r>
        <w:rPr>
          <w:rFonts w:ascii="Times New Roman" w:hAnsi="Times New Roman" w:eastAsia="Times New Roman"/>
          <w:sz w:val="20"/>
          <w:color w:val="auto"/>
        </w:rPr>
        <w:t>. The effect of all this peace was that the bulk of the European world was populated by people, especially leaders, who were several generations removed from the realities of war. Wars existed mainly in the imaginations of the leadership, being gradually confused with fairy tales of national honor, noble sacrifice, and the opportunities of heroism. Some word of the horrors of the Civil War in the United States had reached the awareness of some Europeans, but the United States was an isolated backwater, still struggling to free itself from the barbarism of chattel slavery. The Americans were barely literate at best and lacked the most basic institutions that make savages into gentlemen. There was little reason, from the standpoint of any self-respecting European, to worry about what happened among the half-educated and half-aware. If they were butchering one another, then that is what one expects from those who flout God and King and the gifts of the superior civilization.</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It is not quite accurate to say that no one saw the conflict coming. But for each person who did, there were millions available to gainsay the prophecy. Barbara Tuchman has described it as well as anyone can hope to in </w:t>
      </w:r>
      <w:r>
        <w:rPr>
          <w:rFonts w:ascii="Times New Roman" w:hAnsi="Times New Roman" w:eastAsia="Times New Roman"/>
          <w:sz w:val="20"/>
          <w:i/>
          <w:color w:val="auto"/>
        </w:rPr>
        <w:t>The Guns of August</w:t>
      </w:r>
      <w:r>
        <w:rPr>
          <w:rFonts w:ascii="Times New Roman" w:hAnsi="Times New Roman" w:eastAsia="Times New Roman"/>
          <w:sz w:val="20"/>
          <w:rStyle w:val="EndnoteReference"/>
          <w:color w:val="auto"/>
        </w:rPr>
        <w:endnoteReference w:id="37"/>
      </w:r>
      <w:r>
        <w:rPr>
          <w:rFonts w:ascii="Times New Roman" w:hAnsi="Times New Roman" w:eastAsia="Times New Roman"/>
          <w:sz w:val="20"/>
          <w:color w:val="auto"/>
        </w:rPr>
        <w:t xml:space="preserve"> and the essays collected in </w:t>
      </w:r>
      <w:r>
        <w:rPr>
          <w:rFonts w:ascii="Times New Roman" w:hAnsi="Times New Roman" w:eastAsia="Times New Roman"/>
          <w:sz w:val="20"/>
          <w:i/>
          <w:color w:val="auto"/>
        </w:rPr>
        <w:t>The Proud Tower</w:t>
      </w:r>
      <w:r>
        <w:rPr>
          <w:rFonts w:ascii="Times New Roman" w:hAnsi="Times New Roman" w:eastAsia="Times New Roman"/>
          <w:sz w:val="20"/>
          <w:color w:val="auto"/>
        </w:rPr>
        <w:t>.</w:t>
      </w:r>
      <w:r>
        <w:rPr>
          <w:rFonts w:ascii="Times New Roman" w:hAnsi="Times New Roman" w:eastAsia="Times New Roman"/>
          <w:sz w:val="20"/>
          <w:rStyle w:val="EndnoteReference"/>
          <w:color w:val="auto"/>
        </w:rPr>
        <w:endnoteReference w:id="38"/>
      </w:r>
      <w:r>
        <w:rPr>
          <w:rFonts w:ascii="Times New Roman" w:hAnsi="Times New Roman" w:eastAsia="Times New Roman"/>
          <w:sz w:val="20"/>
          <w:color w:val="auto"/>
        </w:rPr>
        <w:t xml:space="preserve"> As she says, disaster is rarely as pervasive as it seems from recorded accounts, but in the case of the Great War, we find the exception. This was disaster on a nearly universal scale, not least because it failed to come to a stable conclusion. We now can see clearly that this </w:t>
      </w:r>
      <w:r>
        <w:rPr>
          <w:rFonts w:ascii="Times New Roman" w:hAnsi="Times New Roman" w:eastAsia="Times New Roman"/>
          <w:sz w:val="20"/>
          <w:i/>
          <w:color w:val="auto"/>
        </w:rPr>
        <w:t>particular</w:t>
      </w:r>
      <w:r>
        <w:rPr>
          <w:rFonts w:ascii="Times New Roman" w:hAnsi="Times New Roman" w:eastAsia="Times New Roman"/>
          <w:sz w:val="20"/>
          <w:color w:val="auto"/>
        </w:rPr>
        <w:t xml:space="preserve"> war, at just </w:t>
      </w:r>
      <w:r>
        <w:rPr>
          <w:rFonts w:ascii="Times New Roman" w:hAnsi="Times New Roman" w:eastAsia="Times New Roman"/>
          <w:sz w:val="20"/>
          <w:i/>
          <w:color w:val="auto"/>
        </w:rPr>
        <w:t>this</w:t>
      </w:r>
      <w:r>
        <w:rPr>
          <w:rFonts w:ascii="Times New Roman" w:hAnsi="Times New Roman" w:eastAsia="Times New Roman"/>
          <w:sz w:val="20"/>
          <w:color w:val="auto"/>
        </w:rPr>
        <w:t xml:space="preserve"> moment, could have been averted, but not the conflict itself. Nietzsche had jotted down the thought, “the Germans always come after the others, much later: they are carrying something in the depths.”</w:t>
      </w:r>
      <w:r>
        <w:rPr>
          <w:rFonts w:ascii="Times New Roman" w:hAnsi="Times New Roman" w:eastAsia="Times New Roman"/>
          <w:sz w:val="20"/>
          <w:rStyle w:val="EndnoteReference"/>
          <w:color w:val="auto"/>
        </w:rPr>
        <w:endnoteReference w:id="39"/>
      </w:r>
      <w:r>
        <w:rPr>
          <w:rFonts w:ascii="Times New Roman" w:hAnsi="Times New Roman" w:eastAsia="Times New Roman"/>
          <w:sz w:val="20"/>
          <w:color w:val="auto"/>
        </w:rPr>
        <w:t xml:space="preserve"> He had become obsessed with what he so prophetically called “European nihilism.” He thought that the arrival of nationhood to Germany in 1871, and its late entry into the race for colonies, not to mention its seething anti-Semitism, boded ill for European civilization. By the time the Germans came around to doing something together, the decline was beyond stopping. This kind of vision was, to say the least, out of step with the triumphalism of the age. But German self-assertion was resented. This group had never been successfully subdued since Julius Caesar did it and there was more fear than envy in the attitudes of the older colonial powers.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After an effort of several centuries, the </w:t>
      </w:r>
      <w:r>
        <w:rPr>
          <w:rFonts w:ascii="Times New Roman" w:hAnsi="Times New Roman" w:eastAsia="Times New Roman"/>
          <w:sz w:val="20"/>
          <w:i/>
          <w:color w:val="auto"/>
        </w:rPr>
        <w:t>non</w:t>
      </w:r>
      <w:r>
        <w:rPr>
          <w:rFonts w:ascii="Times New Roman" w:hAnsi="Times New Roman" w:eastAsia="Times New Roman"/>
          <w:sz w:val="20"/>
          <w:color w:val="auto"/>
        </w:rPr>
        <w:t>-German Europeans had nearly completed the conquest and subjugation of the world, and, on the weight of the principle that to the victors go the spoils, they had built a magnificent, inter-connected industrial society by developing extracted (some would say stolen) resources and using the blood, sweat, and tears of exploited peoples who ought to have had control of those resources. Needing a justification, or at least an excuse, for the maltreatment and regular slaughter of hundreds of millions of human souls, the imperative of paternalism settled in—all that was done was for the improvement, indeed, the very salvation, of the whole of humanity. I will repeat, then, that this was not the work of anyone who spoke German (a point not lost on the Germans as they struggled for something to be proud of in the tangled web of European history). It is very difficult for people in our day and age, people who know and cannot possibly forget or set aside what the Germans did in the twentieth century, to get a sense of how the Germans were perceived and how they saw themselves prior to the Great War. The professional philosophers in the United States, and indeed, the general citizenry, was about to be put to the test of having to struggle with questions of a fundamental sort between 1911 and 1920.</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For the </w:t>
      </w:r>
      <w:r>
        <w:rPr>
          <w:rFonts w:ascii="Times New Roman" w:hAnsi="Times New Roman" w:eastAsia="Times New Roman"/>
          <w:sz w:val="20"/>
          <w:i/>
          <w:color w:val="auto"/>
        </w:rPr>
        <w:t>non</w:t>
      </w:r>
      <w:r>
        <w:rPr>
          <w:rFonts w:ascii="Times New Roman" w:hAnsi="Times New Roman" w:eastAsia="Times New Roman"/>
          <w:sz w:val="20"/>
          <w:color w:val="auto"/>
        </w:rPr>
        <w:t xml:space="preserve">-German colonial powers, an </w:t>
      </w:r>
      <w:r>
        <w:rPr>
          <w:rFonts w:ascii="Times New Roman" w:hAnsi="Times New Roman" w:eastAsia="Times New Roman"/>
          <w:sz w:val="20"/>
          <w:i/>
          <w:color w:val="auto"/>
        </w:rPr>
        <w:t>ethos</w:t>
      </w:r>
      <w:r>
        <w:rPr>
          <w:rFonts w:ascii="Times New Roman" w:hAnsi="Times New Roman" w:eastAsia="Times New Roman"/>
          <w:sz w:val="20"/>
          <w:color w:val="auto"/>
        </w:rPr>
        <w:t xml:space="preserve"> and a complex set of discursive practices had developed to support the adventure of colonization: the poor within were not to be coddled and the heathen without were to be governed as benevolently as their “savage” natures would allow. It was akin to </w:t>
      </w:r>
      <w:r>
        <w:rPr>
          <w:rFonts w:ascii="Times New Roman" w:hAnsi="Times New Roman" w:eastAsia="Times New Roman"/>
          <w:sz w:val="20"/>
          <w:i/>
          <w:color w:val="auto"/>
        </w:rPr>
        <w:t>patria postestas</w:t>
      </w:r>
      <w:r>
        <w:rPr>
          <w:rFonts w:ascii="Times New Roman" w:hAnsi="Times New Roman" w:eastAsia="Times New Roman"/>
          <w:sz w:val="20"/>
          <w:color w:val="auto"/>
        </w:rPr>
        <w:t>, however, as these powers assumed the authority over the life and death of the peoples they conquered. This kind of justification and authority was all asserted and believed, without irony, by many hundreds of thousands of decision makers over the course of 400 years. Such ideas and discursive practices had seeped into the Americas and had been taken up and adapted for other purposes, closer to home. The idea that the whole proud tower might collapse in flames was quite beyond the reach of the discursive practices of the Europeans.</w:t>
      </w:r>
      <w:r>
        <w:rPr>
          <w:rFonts w:ascii="Times New Roman" w:hAnsi="Times New Roman" w:eastAsia="Times New Roman"/>
          <w:sz w:val="20"/>
          <w:rStyle w:val="EndnoteReference"/>
          <w:color w:val="auto"/>
        </w:rPr>
        <w:endnoteReference w:id="40"/>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human amalgam that was pleased to appropriate for itself the name “Americans” was interestingly ambivalent about the habits of rule and the sheer extent of the British Empire. There were always Anglophiles in these groups, and there was still a shadow of an ancient dispute with the Francophiles, but this had faded into a story told by Henry Adams by 1900. The Americans had some ancient experience with the shortcomings associated with any dreams of empire, and they had a stern warning from the Father of the Country about where that sort of shenanigans leads. But they also wanted the whole continent, and by 1893, a coaling station halfway across the Pacific Ocean was more than a little bit desirable. Only a few good opportunities for colonial control remained, so they set about taking some of Spain’s colonies, and somehow managed to make it all look either glorious or at least justified.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 few professional philosophers, such as William James (1906–1907) and Josiah Royce (1903–1904), did protest, although not too loudly or effectively. There was general condemnation of the Belgian slaughter of the Congolese people, and an occasional mutter of “dreadful” about the second Boer War, but the general absence in the nineteenth century of the kind of endless warfare in Europe that had characterized the previous 2,000 years was taken by many Americans as a hopeful sign, and as evidence that the word “civilization” as it issued unironically from the lips of triumphalists might not be wholly devoid of meaning.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Even the pacifists among the Americans—such as John Haynes Holmes (former student of Royce and James, and a pacifist who managed to live long enough to take a stand against every major American conflict of the twentieth century)—could believe, in 1910, that war, as it had existed for all of human history, might be over, and that it was the duty of each and every person to prevent its recurrence. The view that war was at an end, indeed, that we had evolved beyond it, was popular. After all, there were tens of thousands of decision makers in the Americas who needed to justify a recently completed subjugation of an indigenous population and a number of small but inexcusable wars of conquest.</w:t>
      </w:r>
      <w:r>
        <w:rPr>
          <w:rFonts w:ascii="Times New Roman" w:hAnsi="Times New Roman" w:eastAsia="Times New Roman"/>
          <w:sz w:val="20"/>
          <w:rStyle w:val="EndnoteReference"/>
          <w:color w:val="auto"/>
        </w:rPr>
        <w:endnoteReference w:id="41"/>
      </w:r>
      <w:r>
        <w:rPr>
          <w:rFonts w:ascii="Times New Roman" w:hAnsi="Times New Roman" w:eastAsia="Times New Roman"/>
          <w:sz w:val="20"/>
          <w:color w:val="auto"/>
        </w:rPr>
        <w:t xml:space="preserve"> Yet, in spite of the war with Spain and the brutal suppression of the Filipinos, things had been quiet enough in the decades leading up to the Great War to make even some wise ones to allow themselves to hope that even if the slaughter and oppression could never be justified, at least, perhaps, it was over. The future was to be negotiated.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Even among those who, like Nietzsche (and later, Lenin with his radical comrades), saw the conflict of the imperialist powers on the horizon, none would have a predicted the scale of the blood bath to come. The received view was that the dawning century would see progress. Demographers estimate that the world’s population in 1850 was approximately 1,265,000,000. A conservative estimate of the number of human beings who died directly due to forces that the Europeans called “civilization” during the twentieth century would easily exceed that number. We need not even include deaths from famine that were weather-related or other natural disasters to reach such a number of avoidable human carnage. We might well get there on the strength of wars and consciously directed genocidal campaigns alone, leaving aside mass starvation due to Western greed, Cold War geo-posturing, and various Great Leaps Forward. A significant portion of those deaths was to be among the Europeans themselves, who killed each other by the millions and proved the absurdity of their claimed superiority as providers of an example of civilized behavior.</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All this death and murder was in the offing in 1911, but it did not become an official topic of discussion among the professional philosophers until the Great War was underway. There were numerous reasons. One assumes that philosophers talked about such concerns over drinks in their informal discussions, but the American Philosophical Association (the APA) and the Western Philosophical Association (the WPA) saw no reason to place the condition of European “civilization” among its chief concerns in any official way. The people in North America who devoted themselves to the study of philosophy had been busily professionalizing their work and practices for a dozen years by that point. They knew that the United States was an intellectual backwater in the view of the European world, and that stung, but the remedy would be found by seeking a place for the humanities generally and philosophy in particular among the modern scientific and industrial/agricultural behemoth that was growing from coast to coast. The universities were changing in the United States and Canada; they were becoming something the Europeans would not necessarily treat with intellectual respect, but there was no stopping what was already happening. A discipline either got on that bullet train or got run over by it.</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Like the Germans in Nietzsche’s prediction, philosophers were latecomers to the race for professionalization, and perhaps they also “carried something in the depths.” It was not an enthusiastic push to professionalize. Rather, the aim was only to ensure the survival of instruction in philosophy in the modern university. Even without the gift of second sight, everyone could guess that the public’s view of philosophy would tend to work against its continued inclusion and respectability unless it professionalized.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There had been some significant discussion of this aim of survival, and how to fulfill it, during the first decade of both associations, along with a more or less constant project of merging the two organizations. But there was not serious industry among the philosophers, as indeed there never has been (and perhaps never should be; the point is surely debatable and I, for one, would not care to live in a world in which philosophers were more industrious than they currently are). James’s initial response to the suggestion of a professional society of philosophers had been a thorough rejection of the idea with a declaration that philosophers were solitary beasts in their holes and not suitable for organizing.</w:t>
      </w:r>
      <w:r>
        <w:rPr>
          <w:rFonts w:ascii="Times New Roman" w:hAnsi="Times New Roman" w:eastAsia="Times New Roman"/>
          <w:sz w:val="20"/>
          <w:rStyle w:val="EndnoteReference"/>
          <w:color w:val="auto"/>
        </w:rPr>
        <w:endnoteReference w:id="42"/>
      </w:r>
      <w:r>
        <w:rPr>
          <w:rFonts w:ascii="Times New Roman" w:hAnsi="Times New Roman" w:eastAsia="Times New Roman"/>
          <w:sz w:val="20"/>
          <w:color w:val="auto"/>
        </w:rPr>
        <w:t xml:space="preserve"> Still, with effort, they were rounded up and herded into one town or anther for a dozen years, easily foreseeing what they needed to do, but only sluggishly responding to the need.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philosophers clearly saw the importance of documenting the history of philosophical activity in North America prior to the formation of the professional discipline, and some of their early activity, desultory as it was, aimed to fulfill this need. Like good Protestants, they appointed a committee, which dutifully made a not overly ambitious plan to gather and publish important philosophical papers from the seventeenth and eighteenth centuries. The plan was discussed for some years, greatly refined, and assigned to different executors of the plan, but then never really executed.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Still, in surveying the presidential addresses delivered during the first twenty years of the two associations, one cannot help being struck by the broad and impressive historical learning of nearly all of them. Frank Thilly’s (1900–1901; 1901–1902; 1912–1913) address, “Romanticism and Rationalism” perhaps provides the best example. There can be no question that these philosophers valued history. But it was not history of the Americas that they knew and valued; it was the history of European philosophy as it had been taught to them especially </w:t>
      </w:r>
      <w:r>
        <w:rPr>
          <w:rFonts w:ascii="Times New Roman" w:hAnsi="Times New Roman" w:eastAsia="Times New Roman"/>
          <w:sz w:val="20"/>
          <w:i/>
          <w:color w:val="auto"/>
        </w:rPr>
        <w:t>by the Germans</w:t>
      </w:r>
      <w:r>
        <w:rPr>
          <w:rFonts w:ascii="Times New Roman" w:hAnsi="Times New Roman" w:eastAsia="Times New Roman"/>
          <w:sz w:val="20"/>
          <w:color w:val="auto"/>
        </w:rPr>
        <w:t>. The historical consciousness of the early professional philosophers in the United States was distinctly and incontrovertibly German. There was an intimate connection between the development of professional philosophy in the United States and Canada and advanced study at the grand German universities. James Campbell makes this point in his history of The APA, and emphasizes it this way:</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 xml:space="preserve">The fact that so many American philosophers had studied in Germany would have been nothing more than an interesting statistical aberration had they not returned ready to embody this new understanding of the nature and possibilities of scholarship. . . . These German-trained scholars returned to America with a conception of education as the uncovering of new knowledge; and they saw their role in the university to be revealing more and more about the nature of existence in what the Germans called the </w:t>
      </w:r>
      <w:r>
        <w:rPr>
          <w:rFonts w:ascii="Times New Roman" w:hAnsi="Times New Roman" w:eastAsia="Times New Roman"/>
          <w:sz w:val="20"/>
          <w:i/>
          <w:color w:val="auto"/>
        </w:rPr>
        <w:t>Geisteswissenschaften</w:t>
      </w:r>
      <w:r>
        <w:rPr>
          <w:rFonts w:ascii="Times New Roman" w:hAnsi="Times New Roman" w:eastAsia="Times New Roman"/>
          <w:sz w:val="20"/>
          <w:color w:val="auto"/>
        </w:rPr>
        <w:t xml:space="preserve"> [humanities].</w:t>
      </w:r>
      <w:r>
        <w:rPr>
          <w:rFonts w:ascii="Times New Roman" w:hAnsi="Times New Roman" w:eastAsia="Times New Roman"/>
          <w:sz w:val="20"/>
          <w:rStyle w:val="EndnoteReference"/>
          <w:color w:val="auto"/>
        </w:rPr>
        <w:endnoteReference w:id="43"/>
      </w:r>
    </w:p>
    <w:p>
      <w:pPr>
        <w:jc w:val="both"/>
        <w:rPr>
          <w:rFonts w:ascii="Times New Roman" w:hAnsi="Times New Roman" w:eastAsia="Times New Roman"/>
          <w:sz w:val="20"/>
          <w:color w:val="auto"/>
        </w:rPr>
      </w:pPr>
      <w:r>
        <w:rPr>
          <w:rFonts w:ascii="Times New Roman" w:hAnsi="Times New Roman" w:eastAsia="Times New Roman"/>
          <w:sz w:val="20"/>
          <w:color w:val="auto"/>
        </w:rPr>
        <w:t xml:space="preserve">Thus, </w:t>
      </w:r>
      <w:r>
        <w:rPr>
          <w:rFonts w:ascii="Times New Roman" w:hAnsi="Times New Roman" w:eastAsia="Times New Roman"/>
          <w:sz w:val="20"/>
          <w:i/>
          <w:color w:val="auto"/>
        </w:rPr>
        <w:t>teaching</w:t>
      </w:r>
      <w:r>
        <w:rPr>
          <w:rFonts w:ascii="Times New Roman" w:hAnsi="Times New Roman" w:eastAsia="Times New Roman"/>
          <w:sz w:val="20"/>
          <w:color w:val="auto"/>
        </w:rPr>
        <w:t xml:space="preserve"> was not the repetition of any history except to the extent that it orients the present day teacher upon the task our professors learned in Germany. Teaching depended upon the “work” devoted to revealing new knowledge. This attitude accorded well with the mood of the modern universities, which was leaving behind the theological model of moral education for Christian service.</w:t>
      </w:r>
      <w:r>
        <w:rPr>
          <w:rFonts w:ascii="Times New Roman" w:hAnsi="Times New Roman" w:eastAsia="Times New Roman"/>
          <w:sz w:val="20"/>
          <w:rStyle w:val="EndnoteReference"/>
          <w:color w:val="auto"/>
        </w:rPr>
        <w:endnoteReference w:id="44"/>
      </w:r>
      <w:r>
        <w:rPr>
          <w:rFonts w:ascii="Times New Roman" w:hAnsi="Times New Roman" w:eastAsia="Times New Roman"/>
          <w:sz w:val="20"/>
          <w:color w:val="auto"/>
        </w:rPr>
        <w:t xml:space="preserv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spite of the hostility among some influential members of the APA (and, indeed, it was much worse there than in the WPA) to employing the professional association and meetings to discuss the teaching of philosophy, there was, nonetheless, some discussion of the topic, and some sharing of ideas and experiences and ideas about norms and syllabi, but nothing was done to change or promote it. It was becoming clear by the second decade, as the association developed, that a minimum of structure of actual governane and of energy among those governing was the course most favored by the beasts when they left their individual burrows.</w:t>
      </w:r>
      <w:r>
        <w:rPr>
          <w:rFonts w:ascii="Times New Roman" w:hAnsi="Times New Roman" w:eastAsia="Times New Roman"/>
          <w:sz w:val="20"/>
          <w:rStyle w:val="EndnoteReference"/>
          <w:color w:val="auto"/>
        </w:rPr>
        <w:endnoteReference w:id="45"/>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What was becoming clear was that, in support of the model for higher education they had learned in Germany, these professional philosophers preferred one activity above all others, and almost to the exclusion of all others, which was arguing with each other about philosophy. Harry Norman Gardiner (1907–1908), the APA’s long-time secretary, had pronounced this activity the “proper” business of the organization, and on this point nearly everyone seemed easily persuaded. Getting philosophers together to argue about philosophy is not difficult. Getting them to do anything else, in groups, is a different matter, with the sole exception of drinking, which has the effect of increasing the volume and intensity of the former, but at the cost of coherence and efficaciousness. No one seems to have demanded an explanation of why this was the proper business of the professional philosophers; but then again, perhaps it is so obviously the preference of people who study philosophy that no one </w:t>
      </w:r>
      <w:r>
        <w:rPr>
          <w:rFonts w:ascii="Times New Roman" w:hAnsi="Times New Roman" w:eastAsia="Times New Roman"/>
          <w:sz w:val="20"/>
          <w:i/>
          <w:color w:val="auto"/>
        </w:rPr>
        <w:t>needed</w:t>
      </w:r>
      <w:r>
        <w:rPr>
          <w:rFonts w:ascii="Times New Roman" w:hAnsi="Times New Roman" w:eastAsia="Times New Roman"/>
          <w:sz w:val="20"/>
          <w:color w:val="auto"/>
        </w:rPr>
        <w:t xml:space="preserve"> an explanation.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one other thing the philosophers managed to agree upon, after a dozen years of discussing it, referring it to committees that did not very much about it, then re-discussing it, and re-persuading themselves, was that merging the WPA and the APA was both desirable and inevitable. As if to prove that even fate can be delayed, if not entirely cheated, the philosophers managed to do nothing concrete about the inevitable until 1914, when they actually met together in Chicago and under the same president for both organizations, James Hayden Tufts (1905–1906; 1914–1915; 1934–1935). It took another six years for the various committees actually to merge the organizations. Even then they decided to have separate presidents, officers, executive committees, meetings, program committees, and so forth. The sense in which these divisions (and their youngest sibling, the Pacific Division, begun in 1924) make up a single organization is still a subject of considerable academic debate (not debate among academics, but debate that leads to no action) (2:xi).</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Still, no one needed to explain to the now professional philosophers the importance of appearances and how far from reality appearances may be. The aim was to be </w:t>
      </w:r>
      <w:r>
        <w:rPr>
          <w:rFonts w:ascii="Times New Roman" w:hAnsi="Times New Roman" w:eastAsia="Times New Roman"/>
          <w:sz w:val="20"/>
          <w:i/>
          <w:color w:val="auto"/>
        </w:rPr>
        <w:t>perceived</w:t>
      </w:r>
      <w:r>
        <w:rPr>
          <w:rFonts w:ascii="Times New Roman" w:hAnsi="Times New Roman" w:eastAsia="Times New Roman"/>
          <w:sz w:val="20"/>
          <w:color w:val="auto"/>
        </w:rPr>
        <w:t xml:space="preserve"> as a professionalized group, not necessarily to </w:t>
      </w:r>
      <w:r>
        <w:rPr>
          <w:rFonts w:ascii="Times New Roman" w:hAnsi="Times New Roman" w:eastAsia="Times New Roman"/>
          <w:sz w:val="20"/>
          <w:i/>
          <w:color w:val="auto"/>
        </w:rPr>
        <w:t>become</w:t>
      </w:r>
      <w:r>
        <w:rPr>
          <w:rFonts w:ascii="Times New Roman" w:hAnsi="Times New Roman" w:eastAsia="Times New Roman"/>
          <w:sz w:val="20"/>
          <w:color w:val="auto"/>
        </w:rPr>
        <w:t xml:space="preserve"> one. I have argued elsewhere that the ideas put in motion by James Edwin Creighton (1901–1902) to fabricate the appearance of professionalism, while maintaining the praxis of individual beasts in their burrows, was then, and remains today, a defensible aim. It is not easy to adapt the study of philosophy to the practical demands of a changing world, especially one as uninterested in genuine moral and spiritual self-assessment as the advocates of European colonialism. Honest philosophers would surely be obliged to ask uncomfortable questions such as whether water torture is ethical, for example, as indeed the philosophers finally did begin to do after the outbreak of the Great War.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Before World War I, the APA and the WPA had been carrying on a three-way argument among idealists, realists, and pragmatists about the fundamental nature of knowledge, existence, and proper philosophical method. Campbell has described this era very ably in the sixth chapter of </w:t>
      </w:r>
      <w:r>
        <w:rPr>
          <w:rFonts w:ascii="Times New Roman" w:hAnsi="Times New Roman" w:eastAsia="Times New Roman"/>
          <w:sz w:val="20"/>
          <w:i/>
          <w:color w:val="auto"/>
        </w:rPr>
        <w:t>A Thoughtful Profession</w:t>
      </w:r>
      <w:r>
        <w:rPr>
          <w:rFonts w:ascii="Times New Roman" w:hAnsi="Times New Roman" w:eastAsia="Times New Roman"/>
          <w:sz w:val="20"/>
          <w:color w:val="auto"/>
        </w:rPr>
        <w:t>. It is to this conversation that the presidential addresses of presidents Charles Montague Bakewell (1910</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1911) (“T</w:t>
      </w:r>
      <w:r>
        <w:rPr>
          <w:rFonts w:ascii="Times New Roman" w:hAnsi="Times New Roman" w:eastAsia="Times New Roman"/>
          <w:sz w:val="20"/>
          <w:color w:val="auto"/>
        </w:rPr>
        <w:t>he Problem of Transcendence,” 2:5–21), Evander Bradley McGilvary (1910</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1911; 1913–1914) (“T</w:t>
      </w:r>
      <w:r>
        <w:rPr>
          <w:rFonts w:ascii="Times New Roman" w:hAnsi="Times New Roman" w:eastAsia="Times New Roman"/>
          <w:sz w:val="20"/>
          <w:color w:val="auto"/>
        </w:rPr>
        <w:t>he ‘Fringe’ of William James’s Psychology: The Basis of Logic,” 2:25–45; and “Time and the Experience of Time,” 2:135–152), Frederick James Eugene Woodbridge (1902–1903; 1911–1912) (“The Problem of Metaphysics,” 1:61–73; and “Evolution,” 2:47–56), Addison Webster Moore (1911–1912; 1917–1918) (“Bergson and Pragmatism,” 2:63–75; and “The Opportunity of Philosophy,” 2:277</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288)</w:t>
      </w:r>
      <w:r>
        <w:rPr>
          <w:rFonts w:ascii="Times New Roman" w:hAnsi="Times New Roman" w:eastAsia="Times New Roman"/>
          <w:sz w:val="20"/>
          <w:color w:val="auto"/>
        </w:rPr>
        <w:t>, John Elof Boodin (1912–1913; 1933–1934) (“The Existence of Social Minds,” 2:99</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133)</w:t>
      </w:r>
      <w:r>
        <w:rPr>
          <w:rFonts w:ascii="Times New Roman" w:hAnsi="Times New Roman" w:eastAsia="Times New Roman"/>
          <w:sz w:val="20"/>
          <w:color w:val="auto"/>
        </w:rPr>
        <w:t>, and Boyd Henry Bode (1913–1914) (“The Psychological Doctrine of Focus and Margin,” 2:159</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 xml:space="preserve">173) </w:t>
      </w:r>
      <w:r>
        <w:rPr>
          <w:rFonts w:ascii="Times New Roman" w:hAnsi="Times New Roman" w:eastAsia="Times New Roman"/>
          <w:sz w:val="20"/>
          <w:color w:val="auto"/>
        </w:rPr>
        <w:t xml:space="preserve">belong. Each those addresses is a valuable contribution to the discussion. It would behoove professional philosophers of today to be better familiarized with this discussion, since the pragmatists and realists are still at it, with no idealistic voice to triangulate it.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plan for discussion sessions for the APA supports Campbell’s astute characterization, but in 1914, the discussion was given to “Constitutional and Political Guarantees,” and in 1917, to “Ethics and International Relations,” which are clear indicators of a departure from earlier habits. Also, as I will further elaborate below, the decision to dedicate the 1915 meeting largely to recognition of Royce’s work was not as apolitical as it might at first appear. In 1919, the topic was “The Nature of Community,” and this was undertaken in the midst of the Paris Peace Conference, which resulted in the Treaty of Versailles.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 assert that the joint meeting of the APA and the WPA in Chicago in December of 1914 was surely a sort of high-water mark of social relevance for the professional philosophers of the United States. In Tufts, they had chosen the right sort of president for the role of national influence. He was a worldly individual, a natural leader both intellectually and personally, and he did not shrink from the leadership task at hand in 1914.</w:t>
      </w:r>
      <w:r>
        <w:rPr>
          <w:rFonts w:ascii="Times New Roman" w:hAnsi="Times New Roman" w:eastAsia="Times New Roman"/>
          <w:sz w:val="20"/>
          <w:rStyle w:val="EndnoteReference"/>
          <w:color w:val="auto"/>
        </w:rPr>
        <w:endnoteReference w:id="46"/>
      </w:r>
      <w:r>
        <w:rPr>
          <w:rFonts w:ascii="Times New Roman" w:hAnsi="Times New Roman" w:eastAsia="Times New Roman"/>
          <w:sz w:val="20"/>
          <w:color w:val="auto"/>
        </w:rPr>
        <w:t xml:space="preserve"> Among the founding faculty at the University of Chicago, Tufts had been president of the WPA in 1906, Dean of the Advanced Schools, and, both before John Dewey (1905–1906) arrived in 1894 and after Dewey left in 1904, the Philosophy Department Chair. Campbell argues that Tufts’s importance far exceeds the place he has been accorded in the histories of professional philosophy in the United States, and this is surely true.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point is that the APA and the WPA knew very well whom they had chosen to lead them during this difficult time: arguably the first true expert in applied ethics that America produced, but not in the narrow sense of that sub-discipline today. Rather, Tufts led an active life, advising businesses and governments, sitting on various boards, advising on economics, organizational principles, corporate responsibility, and authoring nine books and hundreds of articles and reviews (1:173–174). Thus, he was a highly visible representative of philosophy, as one would sincerely hope philosophy would be perceived by the public. He would eventually be asked to fill in as President of the University of Chicago in 1925. He advised state and city governments and, during the Great War, he was district director of Student Army Training Corps for the states of Illinois, Wisconsin, and Michigan.</w:t>
      </w:r>
      <w:r>
        <w:rPr>
          <w:rFonts w:ascii="Times New Roman" w:hAnsi="Times New Roman" w:eastAsia="Times New Roman"/>
          <w:sz w:val="20"/>
          <w:rStyle w:val="EndnoteReference"/>
          <w:color w:val="auto"/>
        </w:rPr>
        <w:endnoteReference w:id="47"/>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Tufts’s presidential address, “Ethics of States,” delivered a little over four months after World War I broke out, he </w:t>
      </w:r>
      <w:r>
        <w:rPr>
          <w:rFonts w:ascii="Times New Roman" w:hAnsi="Times New Roman" w:eastAsia="Times New Roman"/>
          <w:sz w:val="20"/>
          <w:color w:val="000000"/>
        </w:rPr>
        <w:t>offered</w:t>
      </w:r>
      <w:r>
        <w:rPr>
          <w:rFonts w:ascii="Times New Roman" w:hAnsi="Times New Roman" w:eastAsia="Times New Roman"/>
          <w:sz w:val="20"/>
          <w:color w:val="auto"/>
        </w:rPr>
        <w:t xml:space="preserve"> a very astute and detailed analysis of the paradoxes evident in the ethics of nation-states, with particular applications to the examples of the present. After enumerating some of the well-recognized problems, in which states behave in ways they will not tolerate from their individual citizens, he stated:</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And if we seek a final paradox, more striking than the others, we find it in the real or assumed solemnity with which nations at war on the one hand suppress discussion, claim that political considerations take precedence over morality, and regard victory as a mark of divine approval, while on the other they appeal to the justice of their cause and recognize the importance of giving it the color of self-defense. “Even victorious wars,” said [Otto von] Bismarck, “cannot be justified unless they are forced upon one . . . . Success,”</w:t>
      </w:r>
      <w:r>
        <w:rPr>
          <w:rFonts w:ascii="Times New Roman" w:hAnsi="Times New Roman" w:eastAsia="Times New Roman"/>
          <w:sz w:val="20"/>
          <w:rStyle w:val="EndnoteReference"/>
          <w:color w:val="auto"/>
        </w:rPr>
        <w:endnoteReference w:id="48"/>
      </w:r>
      <w:r>
        <w:rPr>
          <w:rFonts w:ascii="Times New Roman" w:hAnsi="Times New Roman" w:eastAsia="Times New Roman"/>
          <w:sz w:val="20"/>
          <w:color w:val="auto"/>
        </w:rPr>
        <w:t xml:space="preserve"> he explained to [Helmuth Karl] Moltke when revising the Ems telegram,</w:t>
      </w:r>
      <w:r>
        <w:rPr>
          <w:rFonts w:ascii="Times New Roman" w:hAnsi="Times New Roman" w:eastAsia="Times New Roman"/>
          <w:sz w:val="20"/>
          <w:rStyle w:val="EndnoteReference"/>
          <w:color w:val="auto"/>
        </w:rPr>
        <w:endnoteReference w:id="49"/>
      </w:r>
      <w:r>
        <w:rPr>
          <w:rFonts w:ascii="Times New Roman" w:hAnsi="Times New Roman" w:eastAsia="Times New Roman"/>
          <w:sz w:val="20"/>
          <w:color w:val="auto"/>
        </w:rPr>
        <w:t xml:space="preserve"> “however, essentially depends upon the impression which the origination of the war makes upon us and others; it is important that we should be the party attacked.”</w:t>
      </w:r>
      <w:r>
        <w:rPr>
          <w:rFonts w:ascii="Times New Roman" w:hAnsi="Times New Roman" w:eastAsia="Times New Roman"/>
          <w:sz w:val="20"/>
          <w:rStyle w:val="EndnoteReference"/>
          <w:color w:val="auto"/>
        </w:rPr>
        <w:endnoteReference w:id="50"/>
      </w:r>
      <w:r>
        <w:rPr>
          <w:rFonts w:ascii="Times New Roman" w:hAnsi="Times New Roman" w:eastAsia="Times New Roman"/>
          <w:sz w:val="20"/>
          <w:color w:val="auto"/>
        </w:rPr>
        <w:t xml:space="preserve"> The present war has exemplified these various paradoxes in more striking form. (2:175)</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Tufts provided a clear-eyed summary of the problems associated with the growth and </w:t>
      </w:r>
      <w:r>
        <w:rPr>
          <w:rFonts w:ascii="Times New Roman" w:hAnsi="Times New Roman" w:eastAsia="Times New Roman"/>
          <w:sz w:val="20"/>
          <w:color w:val="000000"/>
        </w:rPr>
        <w:t>creation</w:t>
      </w:r>
      <w:r>
        <w:rPr>
          <w:rFonts w:ascii="Times New Roman" w:hAnsi="Times New Roman" w:eastAsia="Times New Roman"/>
          <w:sz w:val="20"/>
          <w:color w:val="auto"/>
        </w:rPr>
        <w:t xml:space="preserve"> of nation-states, something he had discussed in greater detail earlier in </w:t>
      </w:r>
      <w:r>
        <w:rPr>
          <w:rFonts w:ascii="Times New Roman" w:hAnsi="Times New Roman" w:eastAsia="Times New Roman"/>
          <w:sz w:val="20"/>
          <w:i/>
          <w:color w:val="auto"/>
        </w:rPr>
        <w:t>Ethics</w:t>
      </w:r>
      <w:r>
        <w:rPr>
          <w:rFonts w:ascii="Times New Roman" w:hAnsi="Times New Roman" w:eastAsia="Times New Roman"/>
          <w:sz w:val="20"/>
          <w:color w:val="auto"/>
        </w:rPr>
        <w:t>, which he co-wrote with Dewey in 1908.</w:t>
      </w:r>
      <w:r>
        <w:rPr>
          <w:rFonts w:ascii="Times New Roman" w:hAnsi="Times New Roman" w:eastAsia="Times New Roman"/>
          <w:sz w:val="20"/>
          <w:rStyle w:val="EndnoteReference"/>
          <w:color w:val="auto"/>
        </w:rPr>
        <w:endnoteReference w:id="51"/>
      </w:r>
      <w:r>
        <w:rPr>
          <w:rFonts w:ascii="Times New Roman" w:hAnsi="Times New Roman" w:eastAsia="Times New Roman"/>
          <w:sz w:val="20"/>
          <w:color w:val="auto"/>
        </w:rPr>
        <w:t xml:space="preserve"> But as was his wont, he was not prepared to condemn the nation-state altogether for its faults. Running the analogy of individual behavior to national behavior, but looking out for the genuine disanalogies, he said:</w:t>
      </w:r>
    </w:p>
    <w:p>
      <w:pPr>
        <w:ind w:left="446"/>
        <w:spacing w:before="100" w:beforeAutospacing="0" w:after="100" w:afterAutospacing="0"/>
        <w:jc w:val="both"/>
        <w:rPr>
          <w:rFonts w:ascii="Times New Roman" w:hAnsi="Times New Roman" w:eastAsia="Times New Roman"/>
          <w:sz w:val="20"/>
          <w:color w:val="000000"/>
        </w:rPr>
      </w:pPr>
      <w:r>
        <w:rPr>
          <w:rFonts w:ascii="Times New Roman" w:hAnsi="Times New Roman" w:eastAsia="Times New Roman"/>
          <w:sz w:val="20"/>
          <w:color w:val="auto"/>
        </w:rPr>
        <w:t>In defense of the national state, it may be urged that it represents about as large a group as in the present stage of civilization can act harmoniously and feel its order to be autonomy and its culture its own free creation. We cannot do justice to the men now yielding up their lives, we cannot be fair to the honored and respected men, our friends and colleagues on both sides of this present war, except as we recognize the full worth of that which enlists their devotion. We may freely acknowledge the high purpose of the state; we may even agree with [Gustav] R</w:t>
      </w:r>
      <w:r>
        <w:rPr>
          <w:rFonts w:ascii="Times New Roman" w:hAnsi="Times New Roman" w:eastAsia="Times New Roman"/>
          <w:sz w:val="20"/>
          <w:color w:val="000000"/>
        </w:rPr>
        <w:t>ümelin that the state is bound to maintain itself,</w:t>
      </w:r>
      <w:r>
        <w:rPr>
          <w:rFonts w:ascii="Times New Roman" w:hAnsi="Times New Roman" w:eastAsia="Times New Roman"/>
          <w:sz w:val="20"/>
          <w:rStyle w:val="EndnoteReference"/>
          <w:color w:val="000000"/>
        </w:rPr>
        <w:endnoteReference w:id="52"/>
      </w:r>
      <w:r>
        <w:rPr>
          <w:rFonts w:ascii="Times New Roman" w:hAnsi="Times New Roman" w:eastAsia="Times New Roman"/>
          <w:sz w:val="20"/>
          <w:color w:val="000000"/>
        </w:rPr>
        <w:t xml:space="preserve"> and that under existing conditions this may involve means that are abhorrent to our standards of morality. (2:179)</w:t>
      </w:r>
    </w:p>
    <w:p>
      <w:pPr>
        <w:jc w:val="both"/>
        <w:rPr>
          <w:rFonts w:ascii="Times New Roman" w:hAnsi="Times New Roman" w:eastAsia="Times New Roman"/>
          <w:sz w:val="20"/>
          <w:color w:val="000000"/>
        </w:rPr>
      </w:pPr>
      <w:r>
        <w:rPr>
          <w:rFonts w:ascii="Times New Roman" w:hAnsi="Times New Roman" w:eastAsia="Times New Roman"/>
          <w:sz w:val="20"/>
          <w:color w:val="000000"/>
        </w:rPr>
        <w:t>Having noted this disanalogy, Tufts returned directly to the positive analogies of national to individual morality:</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000000"/>
        </w:rPr>
        <w:t>But at the same time let us not fall into the fallacy of saying that evil is good. Going about armed, spending a large part of one’s days and wealth in revolver practice, and of one’s nights in listening at the neighbor’s door to discover plots, devising means to catch him napping and studying the precise moment at which one may shoot first and call it self-defense, lynching suspects, burning houses, and incidentally shooting the children of bystanders, all this may be “necessary” in certain stages of savagery or frontier life. But no man can call it good. And insofar as nations conduct themselves in this fashion, we must challenge the situation. We must maintain that if our end requires such a means we are in a stupid and pitiable condition. . . . Instead of glorifying national or imperial states, we should say: If this is the best they can do, we had better look for another principle of organization and reserve our enthusiasm and moral applause. (2:179)</w:t>
      </w:r>
    </w:p>
    <w:p>
      <w:pPr>
        <w:jc w:val="both"/>
        <w:rPr>
          <w:rFonts w:ascii="Times New Roman" w:hAnsi="Times New Roman" w:eastAsia="Times New Roman"/>
          <w:sz w:val="20"/>
          <w:color w:val="auto"/>
        </w:rPr>
      </w:pPr>
      <w:r>
        <w:rPr>
          <w:rFonts w:ascii="Times New Roman" w:hAnsi="Times New Roman" w:eastAsia="Times New Roman"/>
          <w:sz w:val="20"/>
          <w:color w:val="auto"/>
        </w:rPr>
        <w:t xml:space="preserve">By the middle of 1917, many would call such words treasonous. It portends world government when civilizational progress will allow it. It is the opposite of “my country right or wrong.” Yet, the discourse was very much in keeping with the sort of theory Tufts had favored for years: that the development of civilization produced, for better and for worse, the idea that the individual is the existential seat of moral authority. This was not an ontological truth; it was a historical achievement, and there is no reason at all to suppose that it is the final end of the growth of civilization. Individualism has the strength of holding each of us to a high standard of responsibility, but the weakness of undermining the thickest bonds of community. Thus, communities must be progressively rebuilt upon the intelligent action that follows from our best bonds of sympathy. A mere formalism, whether legal or formal, will not bring our states into the sort of relation with one another that we demand in our relations with our own neighbors.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most telling phrases are those that situate the nation-state in the broad sweep of the history of civilization. At one and the same time these ideas reinforce the triumphalism that would become hard to believe after the Great War and impossible to believe after its successor. The death of Western humanism and its narrative of progress were on the way, but never accomplished. These wars were not the fault of humanists, but it is difficult to know whether the narrative of progress may have simply trailed the colonial conquest as an explanation and justification for the destruction, or might have genuinely contributed at each stage to the psychology that fueled the next conquest. In any case, after World War II, the search for a post-humanist narrative was understandable, and a story like the one Tufts told, along with its optimism and exhortations, was beyond being passé. Still, the search for a new account left behind, when it shouldn’t have, the sweeping historical sense and understanding, obscuring it in a cloud of technicalities, dialectic, and self-suspicion that led away from the big questions of philosophy.</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Tufts’s address was not, then, a simple foray into political opinion or an attempt by a philosopher to become a political scientist. It was a genuinely thorough piece of thought regarding the way nation-states exist, their moral strengths and weaknesses, how they come to be what they are, as moral developments of our human yearnings to have basic needs met, and how and when they overreach. Here were the philosophers, in December 1914, becoming a community with some fair expectation of some efficacy in their united voice, meeting together in an important historical moment, and having something to say to the public that was worth serious consideration. In 1915, they would contribute vitally to the formation of the American Association of University Professors, which, among other things, was dedicated to insuring the independence of such perspectives in a (foreseeably) difficult and impending future.</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the next four meetings, although the two organizations seemed to have frightened themselves, structurally speaking, into re-separating, there really was a more or less constant effort to watch what was happening in the world and to reflect upon it with the detachment of both historical understanding and non-ideological philosophical distance. Alfred Henry Lloyd’s (1915–1916) eloquent case made in “The Doctrinaire in Time of Crisis,” for a higher neutrality is certainly among the true gems in the history of professional philosophy in the United States. He pushed beyond the rhetoric and politics of Woodrow Wilson’s neutrality and argued that philosophical ideas cannot belong to nations as if there were some automatic stamp to be placed upon them because one group favors them over another or creates them at some special point in history or for some more limited reason than the dignity of the idea requires.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his 1916 address, Lloyd took as his theme the problem of being “doctrinaire” in the relation between one’s active life and one’s thoughts. He echoed a famous line of thought with which Wilson and James, among others, had become associated. In Wilson’s formulation, it was, “the leader of men sees but one side,” that such a person “lacks that subtle power of sympathy that enables the men who write the great works of imagination to put their minds under the spell of a thousand motives not their own but the living force in those whom they interpret.”</w:t>
      </w:r>
      <w:r>
        <w:rPr>
          <w:rFonts w:ascii="Times New Roman" w:hAnsi="Times New Roman" w:eastAsia="Times New Roman"/>
          <w:sz w:val="20"/>
          <w:rStyle w:val="EndnoteReference"/>
          <w:color w:val="auto"/>
        </w:rPr>
        <w:endnoteReference w:id="53"/>
      </w:r>
      <w:r>
        <w:rPr>
          <w:rFonts w:ascii="Times New Roman" w:hAnsi="Times New Roman" w:eastAsia="Times New Roman"/>
          <w:sz w:val="20"/>
          <w:color w:val="auto"/>
        </w:rPr>
        <w:t xml:space="preserve"> In James’s words, this is “a certain blindness” that he explained as being due to the way that ideas come to our thinking in association with certain sorts of feelings.</w:t>
      </w:r>
      <w:r>
        <w:rPr>
          <w:rFonts w:ascii="Times New Roman" w:hAnsi="Times New Roman" w:eastAsia="Times New Roman"/>
          <w:sz w:val="20"/>
          <w:rStyle w:val="EndnoteReference"/>
          <w:color w:val="auto"/>
        </w:rPr>
        <w:endnoteReference w:id="54"/>
      </w:r>
      <w:r>
        <w:rPr>
          <w:rFonts w:ascii="Times New Roman" w:hAnsi="Times New Roman" w:eastAsia="Times New Roman"/>
          <w:sz w:val="20"/>
          <w:color w:val="auto"/>
        </w:rPr>
        <w:t xml:space="preserve"> Speaking in April of 1916 at the WPA, the nation had just been through the awful tumult of trying to remain neutral in the face of increasing pressure to enter the war. In Lloyd’s able hands, this idea of blindness or one-sidedness becomes a distinction between mere neutrality in a disagreement in which both sides (or all sides) have some valid reasons, and what he called a “higher neutrality.”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One supposes here that Lloyd borrowed a card from Wilson’s political hand and raised the stakes by rendering it into philosophical principle. People were accusing Wilson of being doctrinaire, academic, out of touch, a faint-hearted academic, even an unmanly coward for refusing to fight. Wilson had taken a true walloping from the press for his remarks of 10 May 1915, three days after the sinking of the </w:t>
      </w:r>
      <w:r>
        <w:rPr>
          <w:rFonts w:ascii="Times New Roman" w:hAnsi="Times New Roman" w:eastAsia="Times New Roman"/>
          <w:sz w:val="20"/>
          <w:i/>
          <w:color w:val="auto"/>
        </w:rPr>
        <w:t>Lusitania</w:t>
      </w:r>
      <w:r>
        <w:rPr>
          <w:rFonts w:ascii="Times New Roman" w:hAnsi="Times New Roman" w:eastAsia="Times New Roman"/>
          <w:sz w:val="20"/>
          <w:color w:val="auto"/>
        </w:rPr>
        <w:t>, in which he said, “there is such a thing as a man being too proud to fight. There is such a thing as a nation being so right that it does not need to convince others by force that it is right.”</w:t>
      </w:r>
      <w:r>
        <w:rPr>
          <w:rFonts w:ascii="Times New Roman" w:hAnsi="Times New Roman" w:eastAsia="Times New Roman"/>
          <w:sz w:val="20"/>
          <w:rStyle w:val="EndnoteReference"/>
          <w:color w:val="auto"/>
        </w:rPr>
        <w:endnoteReference w:id="55"/>
      </w:r>
      <w:r>
        <w:rPr>
          <w:rFonts w:ascii="Times New Roman" w:hAnsi="Times New Roman" w:eastAsia="Times New Roman"/>
          <w:sz w:val="20"/>
          <w:color w:val="auto"/>
        </w:rPr>
        <w:t xml:space="preserve"> Lloyd, in setting out his distinction, was both defending Wilson and exhorting him to remember that he must continue to rise above politics.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What is most striking in Lloyd’s address was his way of seeing the profession of philosophy and a road open to the APA and the WPA for them to have relevance to the wider world. By this moment, the professional organization of philosophers was surely feeling it had a voice and a role to play in national and international affairs. Lloyd said:</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Not long ago the “practical” men of society were given to finding fault with the universities for sending out doctrinaires and inefficients generally. Their fault-finding had some warrant, I do not doubt, although to any “practical” man any real thinker may seem inefficient. Sensitive to the criticism, however, the universities adopted reforms. (2:216)</w:t>
      </w:r>
    </w:p>
    <w:p>
      <w:pPr>
        <w:jc w:val="both"/>
        <w:rPr>
          <w:rFonts w:ascii="Times New Roman" w:hAnsi="Times New Roman" w:eastAsia="Times New Roman"/>
          <w:sz w:val="20"/>
          <w:color w:val="auto"/>
        </w:rPr>
      </w:pPr>
      <w:r>
        <w:rPr>
          <w:rFonts w:ascii="Times New Roman" w:hAnsi="Times New Roman" w:eastAsia="Times New Roman"/>
          <w:sz w:val="20"/>
          <w:color w:val="auto"/>
        </w:rPr>
        <w:t xml:space="preserve">He then described the decline of the humanities and classics and the rise of an “idolatry of specialism” (2:216), which, if it places a check on such doctrinaire (i.e., humanistic) thinking, does so at the cost of narrowness. Warning that a crisis requires deeper thinking, he continued: </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suppose the universities should not respond to the present call [for real vision]. History has many examples of institutions being found wanting in critical moments, the work required being taken up by agencies quite outside the institutional walls. . . . Our universities may fail in their duty. Yet the goal [of providing real vision] is greatly worthy of their striving and, in any event, what life must have it usually gets; if not in one way, then in some other. For the great change that seems to be drawing near, men of commanding vision must come and surely will come. (2:217)</w:t>
      </w:r>
    </w:p>
    <w:p>
      <w:pPr>
        <w:jc w:val="both"/>
        <w:rPr>
          <w:rFonts w:ascii="Times New Roman" w:hAnsi="Times New Roman" w:eastAsia="Times New Roman"/>
          <w:sz w:val="20"/>
          <w:color w:val="auto"/>
        </w:rPr>
      </w:pPr>
      <w:r>
        <w:rPr>
          <w:rFonts w:ascii="Times New Roman" w:hAnsi="Times New Roman" w:eastAsia="Times New Roman"/>
          <w:sz w:val="20"/>
          <w:color w:val="auto"/>
        </w:rPr>
        <w:t>Here Lloyd warned the association that it must provide the vision, the higher ideals, it must play a role in convincing both students and the public that the sweep of history must be grasped. He opined that professional philosophers ought to be the ones to do it:</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From all that I have said so far there is at least one very obvious conclusion. Our profession never has had larger possibilities. It has never been more worthwhile or in face of greater responsibilities. The philosopher, the thinker, above all the young thinker of today is challenged, as never before. To speak very directly, the current issue of preparedness cannot be met by mere military organization, by armies and munitions alone. . . . Your interest, as shown by the chief topic of discussion at this meeting of the Association, certainly indicates that you are responding to the present demand and the papers presented, some of them already read and discussed, show how fully you realize that the problem is not a narrowly political one but a problem demanding the widest and freest study; a problem, if I may so express myself, that must be brought by thinkers, trained to skill and widely informed, to the court of the Idea. Today’s vision must measure fully to the issue. (2:217)</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This was a vision of professional philosophy that was not to be realized, but at this moment in history, the path to such vital relevance lay open. Lloyd was not mistaken. Whatever the reasons may be that prevented the pursuit of social relevance, it was not for lack of a sense of its possibility. As Lloyd said, “not to face the possibility of a new kind of life is to refuse to face honestly a real phase of the great struggle. It is such a mistake to suppose that there is no fighting in thinking and no courage required of the thinker” (2:216). One hopes that Wilson took heart from his colleagues.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1916, the APA dedicated a great portion of its proceedings to a consideration of the life and career of Royce. That might seem like a diversion from relevance, but in fact, it was not. Royce had become one of the most ardent public speakers in the nation; his speeches supporting America’s entry into the War on the side of the Allies were being printed in newspapers everywhere. It was known by everyone arranging the 1916 meeting that Royce had become a household name in support of going to war. Everyone in the APA also knew that Royce had a long and friendly relationship with President Wilson of the United States, begun when Wilson was still a student at Johns Hopkins and before the APA gathered at Wilson’s Princeton in 1906, where he spoke and Royce provided the response on the part of the Association.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Royce and Wilson met several times over the years, and a decision to place Royce at the center of a meeting, with his new book on war still fresh from the presses,</w:t>
      </w:r>
      <w:r>
        <w:rPr>
          <w:rFonts w:ascii="Times New Roman" w:hAnsi="Times New Roman" w:eastAsia="Times New Roman"/>
          <w:sz w:val="20"/>
          <w:rStyle w:val="EndnoteReference"/>
          <w:color w:val="auto"/>
        </w:rPr>
        <w:endnoteReference w:id="56"/>
      </w:r>
      <w:r>
        <w:rPr>
          <w:rFonts w:ascii="Times New Roman" w:hAnsi="Times New Roman" w:eastAsia="Times New Roman"/>
          <w:sz w:val="20"/>
          <w:color w:val="auto"/>
        </w:rPr>
        <w:t xml:space="preserve"> was far from being an act of neutrality. Perhaps the APA had been saddened by the unexpected loss of William James, who died in 1910, and felt resolved not to allow another great philosopher to pass without doing affording adequate honor. (Royce had, in fact, been in poor health.) But the political message implied by dedicating a meeting to Royce at just this time could not be mistaken. It was an effort to be socially relevant, at least in part. The gesture came just in time, in any case, since Royce did not live to see another meeting of the APA. Few Americans loved Germany more than Royce did, and to advocate war against them broke his spirit and, some say, finally killed him at the premature age of 61 in 1916.</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After the Great War, there was perhaps too much of a rush among professional philosophers to get back to what Warren G. Harding so ineloquently called “normalcy.”</w:t>
      </w:r>
      <w:r>
        <w:rPr>
          <w:rFonts w:ascii="Times New Roman" w:hAnsi="Times New Roman" w:eastAsia="Times New Roman"/>
          <w:sz w:val="20"/>
          <w:rStyle w:val="EndnoteReference"/>
          <w:color w:val="auto"/>
        </w:rPr>
        <w:endnoteReference w:id="57"/>
      </w:r>
      <w:r>
        <w:rPr>
          <w:rFonts w:ascii="Times New Roman" w:hAnsi="Times New Roman" w:eastAsia="Times New Roman"/>
          <w:sz w:val="20"/>
          <w:color w:val="auto"/>
        </w:rPr>
        <w:t xml:space="preserve"> Their election of Mary Whiton Calkins (1918–1919) to the presidency of the APA coincided with national suffrage for women and she spoke on the topic of personhood in her address entitled, “The Personalistic Conception of Nature.” Before the War, the WPA had elected Hartley Burr Alexander (1917–1918; 1919–1920; 1929–1930) to the presidency; after the War, the APA would do the same. He was, in many ways, perhaps the closest thing to a true Renaissance man who ever taught philosophy in the universities of the United States. The Pacific Division of The APA would also elect him president later, making him the only person to serve in the top office of all three.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There was never anything irrelevant in Alexander’s blending of concerns, but he stood at one and the same time so much closer to so many worlds of human praxis than the ordinary college professor, being anthropologist, archeologist, and artist, and so far above the normal run of teachers, being original theorist and poet, that I suspect most of his fellows simply stood mute in his presence and hoped he would instruct them. That today he should be so little recognized in the history of American philosophy is little short of a crime.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More could be said about those meetings and presidents who did not serve during the War, but the meetings during the War form a kind of zenith of possibility for professionalized philosophy in the United States. There was a moment here when simply yacking at one another formally and informally might not have become the proper business of our organization. With exemplars like Tufts and Lloyd, it was possible to set a different course. If the critique of studied irrelevance among professional philosophers offered by John McCumber is true, and our refusal of social responsibility during the time of the Cold War is accurate—one assumes it is—then that refusal was already our established ethos before the Cold War came. Once our professional associations settled into normalcy during the 1920s, they never really emerged from that sleepy condition.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Great War had changed the relationship of American professional philosophy to philosophy in Europe. France, Germany, and Great Britain had each sacrificed an entire generation of young men, those born between 1880 and 1900. Many of those who were already trained to take the chairs of the professors, who were just a bit too old to fight—Ernst Cassirer, Henri Bergson, Bertrand Russell, Gottlob Frege, Alfred North Whitehead (1931–1932), Oswald Spengler, Edmund Husserl, Paul Val</w:t>
      </w:r>
      <w:r>
        <w:rPr>
          <w:rFonts w:ascii="Times New Roman" w:hAnsi="Times New Roman" w:eastAsia="Times New Roman"/>
          <w:sz w:val="20"/>
          <w:color w:val="000000"/>
        </w:rPr>
        <w:t>ér</w:t>
      </w:r>
      <w:r>
        <w:rPr>
          <w:rFonts w:ascii="Times New Roman" w:hAnsi="Times New Roman" w:eastAsia="Times New Roman"/>
          <w:sz w:val="20"/>
          <w:color w:val="auto"/>
        </w:rPr>
        <w:t xml:space="preserve">y, and lesser lights—and rising through the ranks of academia, did not return after the War. Those who did return and entered the academy afterwards were not interested in listening to the old men and their triumphalist-sounding humanism.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survivors were to reject the idealism and the narrative of progress that had nourished the previous century. It was an amazing moment for the introduction of ideas that departed from that narrative and the survivors, along with those such as Heidegger who had somehow avoided military service, wasted no time setting aside the old and attempting to re-create the narrative of the West according to patterns they could actually believe, whether absurdist or nationalist, or they evaded the grand story altogether and dove into technicalities. The United States had not lost a generation and had not suffered in the same way. It took some time before the change in European philosophy would take hold across the ocean.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There was certainly talk of “reconstruction in philosophy,” as Dewey called it,</w:t>
      </w:r>
      <w:r>
        <w:rPr>
          <w:rFonts w:ascii="Times New Roman" w:hAnsi="Times New Roman" w:eastAsia="Times New Roman"/>
          <w:sz w:val="20"/>
          <w:rStyle w:val="EndnoteReference"/>
          <w:color w:val="auto"/>
        </w:rPr>
        <w:endnoteReference w:id="58"/>
      </w:r>
      <w:r>
        <w:rPr>
          <w:rFonts w:ascii="Times New Roman" w:hAnsi="Times New Roman" w:eastAsia="Times New Roman"/>
          <w:sz w:val="20"/>
          <w:color w:val="auto"/>
        </w:rPr>
        <w:t xml:space="preserve"> and an “outlawry of war” movement among the freshly reinforced ranks of pacifists, but continuity outweighed change at that moment and the American philosophers were more than ready to resume their argument about idealism, realism, and pragmatism. But something had changed. American philosophers were more likely to fulfill all their training in the States, and when they did go to Europe for study, it would be in Great Britain or France, not Germany. In the fog of that awful decade, James, Charles Sanders Peirce, Royce, George Holmes Howison, William Torrey Harris, and Borden Parker Bowne had passed away and Santayana had decamped to Europe permanently. The generation that started the APA was handing the reins to its first generation of students and the general feeling must have been altered.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late December of 1916, when Arthur (Schauffler) Oncken Lovejoy (1908–1909; 1916–1917) was President of the APA, the Battle of Verdun had raged all year, at the cost upwards of three-quarters of a million casualties, perhaps approaching a million. The Battle of the Somme had begun in July and lasted until mid-November, and saw another million casualties in half as much time. Wilson had, three weeks ahead of Lovejoy’s address, demanded that Congress pass the legislation necessary to regulate the railroads so that the United States military could be made ready for, as had become clear to everyone, the United States entry into the Great War on the side of the Allied Powers. Thus, when Lovejoy delivered “On Some Conditions of Progress in Philosophical Inquiry,” he spoke at the close of the bloodiest year of battle in human history, on the verge of war with Germany, and he chose that moment, and no other, to speak on the meaning of, and hope for, progress in philosophical inquiry.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At a poignant moment in his plea, Lovejoy called on the authority of a man who, as “an eminent man of science turned philosopher, the founder of a somewhat influential doctrine [energism] describes how the secret of the universe dawned on him” (2:238). He did not name the eminent man, or identify him with a nationality, but he added parenthetically that “it would be a pity to translate what follows out of the charming and appropriate German in which the tale is told” (2:238). Lovejoy then proceeded to read from Nobel Prize winner Wilhelm Ostwald’s 1912 book on energism the story of how Ostwald had come upon the insight that thinking itself, like everything else in nature, is energy, and is connected in the most intimate ways with the most beautiful bursting and blooming and buzzing life. Ostwald described not being able to sleep one night due to an agitating idea trying to come clearer, and finding himself walking in the Tiergarten (in Leipzig, one assumes) in the earliest part of the morning, where he had what Emerson would call an experience of the sentiment of virtue, of the goodness and the beauty of all things, of their harmony and perfection, and of the invisible eye that sees all and is in itself nothing.</w:t>
      </w:r>
      <w:r>
        <w:rPr>
          <w:rFonts w:ascii="Times New Roman" w:hAnsi="Times New Roman" w:eastAsia="Times New Roman"/>
          <w:sz w:val="20"/>
          <w:rStyle w:val="EndnoteReference"/>
          <w:color w:val="auto"/>
        </w:rPr>
        <w:endnoteReference w:id="59"/>
      </w:r>
      <w:r>
        <w:rPr>
          <w:rFonts w:ascii="Times New Roman" w:hAnsi="Times New Roman" w:eastAsia="Times New Roman"/>
          <w:sz w:val="20"/>
          <w:color w:val="auto"/>
        </w:rPr>
        <w:t xml:space="preserv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recognizing that eminent man of science, whom no one had heard from since the Great War began, and whom everyone would have known as a devoted follower of the 1905 Nobel Peace Prize recipient Bertha von Suttner,</w:t>
      </w:r>
      <w:r>
        <w:rPr>
          <w:rFonts w:ascii="Times New Roman" w:hAnsi="Times New Roman" w:eastAsia="Times New Roman"/>
          <w:sz w:val="20"/>
          <w:rStyle w:val="EndnoteReference"/>
          <w:color w:val="auto"/>
        </w:rPr>
        <w:endnoteReference w:id="60"/>
      </w:r>
      <w:r>
        <w:rPr>
          <w:rFonts w:ascii="Times New Roman" w:hAnsi="Times New Roman" w:eastAsia="Times New Roman"/>
          <w:sz w:val="20"/>
          <w:color w:val="auto"/>
        </w:rPr>
        <w:t xml:space="preserve"> Lovejoy marked the ugliest, bloodiest year of the worst war in human history by reading to his audience in German. This audience did not need a translation. It was not an act of rebellion or defiance, or a political act of any kind, to read in German to so many who had friends, loved ones, memories, spiritual debts, inspiration, and deep affection for people who, as they all knew, were soon to be wholly demonized and blamed for every ill of civilization.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Today, one is not allowed to offer any defense for German behavior in the twentieth century, and surely that stern convention is properly observed. But to the philosophers gathered in New York to hear Lovejoy speak, and feeling with some justification that in Wilson, one of their own was guiding the nation, the note of hope seemed more appropriate than the note of condemnation. Somewhere on the other side of the trenches there were those who believed in peace and in every decent thing.</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Almost all of those philosophers spoke German, as Lovejoy knew, and none of them could imagine what atrocities lay on the horizon. Surely this harbinger of humanity and humanism, this late, reluctant entrant into the colonialist aggression, would recover itself, somehow, and be a guiding light to history. And who knows? If the Old World colonial powers had listened to Wilson and had not placed upon Germany the whole burden of world guilt, had not tried to scapegoat the Germans </w:t>
      </w:r>
      <w:r>
        <w:rPr>
          <w:rFonts w:ascii="Times New Roman" w:hAnsi="Times New Roman" w:eastAsia="Times New Roman"/>
          <w:sz w:val="20"/>
          <w:i/>
          <w:color w:val="auto"/>
        </w:rPr>
        <w:t>alone</w:t>
      </w:r>
      <w:r>
        <w:rPr>
          <w:rFonts w:ascii="Times New Roman" w:hAnsi="Times New Roman" w:eastAsia="Times New Roman"/>
          <w:sz w:val="20"/>
          <w:color w:val="auto"/>
        </w:rPr>
        <w:t xml:space="preserve"> while exonerating themselves from responsibility for centuries of rape and pillage and murder, horrors the Germans would perhaps exceed but had not yet committed, the twentieth century might have proven itself worthy of a better destiny than it achieved. </w:t>
      </w:r>
    </w:p>
    <w:p>
      <w:pPr>
        <w:ind w:left="0" w:firstLine="446"/>
        <w:spacing w:line="240" w:lineRule="auto"/>
        <w:pStyle w:val="BodyText"/>
      </w:pPr>
      <w:r>
        <w:t>Our “small band of philosophers,” as Edgar Sheffield Brightman (1936–1937) once called it,</w:t>
      </w:r>
      <w:r>
        <w:rPr>
          <w:rStyle w:val="EndnoteReference"/>
        </w:rPr>
        <w:endnoteReference w:id="61"/>
      </w:r>
      <w:r>
        <w:t xml:space="preserve"> could only hope. Royce sent Wilson a copy of </w:t>
      </w:r>
      <w:r>
        <w:rPr>
          <w:i/>
        </w:rPr>
        <w:t>War and Insurance</w:t>
      </w:r>
      <w:r>
        <w:t xml:space="preserve"> when it appeared late in 1914.</w:t>
      </w:r>
      <w:r>
        <w:rPr>
          <w:rStyle w:val="EndnoteReference"/>
        </w:rPr>
        <w:endnoteReference w:id="62"/>
      </w:r>
      <w:r>
        <w:t xml:space="preserve"> It outlined a practical plan for avoiding </w:t>
      </w:r>
      <w:r>
        <w:rPr>
          <w:i/>
        </w:rPr>
        <w:t>all</w:t>
      </w:r>
      <w:r>
        <w:t xml:space="preserve"> future wars—a plan that resembled in a number of uncanny ways, the Fourteen Points. But Wilson’s plan was subverted by the desire for revenge, to have a people upon whom to pin the violence of all sides. By the end of the decade, the die had been cast, and the League of Nations was already on a course for failure. This was due in no small part to the wicked small-mindedness of Henry Cabot Lodge, a man whose name ought to be mentioned in the same company as Sen. Joseph McCarthy and Benedict Arnold, and the corrupt United States Senate. The United States came to deserve a good deal of the blame for the conditions that created a still worse world war, and at least some among our profession foresaw it and tried to prevent it.</w:t>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sz w:val="18"/>
        </w:r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widowControl/>
        <w:pStyle w:val="Heading1"/>
        <w:rPr>
          <w:caps/>
          <w:vertAlign w:val="superscript"/>
        </w:rPr>
      </w:pPr>
      <w:r/>
      <w:bookmarkStart w:id="93" w:name="PHILOSOPHICAL_LEGACIES_OF_THE_1920s"/>
      <w:r>
        <w:t>PHILOSOPHICAL LEGACIES OF THE 1920s</w:t>
      </w:r>
      <w:bookmarkEnd w:id="93"/>
    </w:p>
    <w:p>
      <w:pPr>
        <w:spacing w:after="160" w:afterAutospacing="0" w:line="240" w:lineRule="auto"/>
        <w:jc w:val="center"/>
        <w:widowControl/>
        <w:pStyle w:val="BodyText"/>
      </w:pPr>
      <w:r>
        <w:t>Michael Brodrick</w:t>
      </w:r>
    </w:p>
    <w:p>
      <w:pPr>
        <w:spacing w:line="240" w:lineRule="auto"/>
        <w:widowControl/>
        <w:pStyle w:val="BodyText"/>
      </w:pPr>
      <w:r>
        <w:t>In human affairs, periods of conflict and turbulence are often the most interesting and the most decisive. The 1920s was such a period for philosophy in America. Those purposes and institutions that had shaped philosophy during the first half of the nineteenth century and earlier began to conflict with a new vision of philosophy’s mission suited to a new institutional framework. Philosophy in its traditional guise consisted largely of Christian apologetics mixed with a healthy dose of personal opinion. Taught mostly by college presidents who were also ministers, its purpose was to “put the final touches on the education of the Christian gentleman.”</w:t>
      </w:r>
      <w:r>
        <w:rPr>
          <w:rStyle w:val="EndnoteReference"/>
        </w:rPr>
        <w:endnoteReference w:id="63"/>
      </w:r>
      <w:r>
        <w:t xml:space="preserve"> Professional philosophers as we know them today did not exist. By 1925, however, philosophy had emerged as a narrowly defined discipline within a modern university setting, creating a very different set of incentives for its practitioners. It was now possible to earn a comfortable living doing philosophy, provided one produced a steady stream of scholarly material reflecting philosophy’s new disciplinary parameters. From its marginal existence in the “old-time college,”</w:t>
      </w:r>
      <w:r>
        <w:rPr>
          <w:rStyle w:val="EndnoteReference"/>
        </w:rPr>
        <w:endnoteReference w:id="64"/>
      </w:r>
      <w:r>
        <w:t xml:space="preserve"> philosophy emerged as a viable career path, driven in large part by desire for professional advancement. </w:t>
      </w:r>
    </w:p>
    <w:p>
      <w:pPr>
        <w:spacing w:line="240" w:lineRule="auto"/>
        <w:widowControl/>
        <w:pStyle w:val="BodyText2"/>
      </w:pPr>
      <w:r>
        <w:t>That to which James Campbell refers as the “professionalization of philosophy”</w:t>
      </w:r>
      <w:r>
        <w:rPr>
          <w:rStyle w:val="EndnoteReference"/>
        </w:rPr>
        <w:endnoteReference w:id="65"/>
      </w:r>
      <w:r>
        <w:t xml:space="preserve"> gained substantial momentum during the 1920s, as philosophers pursuing academic careers responded rationally to the new incentives placed on them by churning out a body of highly technical literature aimed at philosophical “progress.” Because the hard sciences were setting the standards for modern academic disciplines, it was widely believed that progress in philosophy would look very much like scientific discoveries. This created a climate of ideas that was, in many, ways antagonistic to those pockets of systematic idealism that remained from the late nineteenth century. While nineteenth-century idealism was sufficiently sophisticated to qualify as a framework for “progress,” its emphasis on human values placed it at odds with the neutrality supposedly required for scientific discoveries. The result was a conflict between idealism and “realism,” the discourse within which philosophical progress was thought most likely to occur. </w:t>
      </w:r>
    </w:p>
    <w:p>
      <w:pPr>
        <w:spacing w:line="240" w:lineRule="auto"/>
        <w:widowControl/>
        <w:pStyle w:val="BodyText2"/>
      </w:pPr>
      <w:r>
        <w:t xml:space="preserve">A third party to this conflict took the form of a movement to return philosophy to its ancient roots in the search for practical wisdom by rejecting its development as a highly specialized discipline made in the image of science for the purpose of professional advancement. This was the beginning of the current popular view that philosophers should play an increasingly powerful role in addressing a wide variety of social problems. </w:t>
      </w:r>
    </w:p>
    <w:p>
      <w:pPr>
        <w:spacing w:line="240" w:lineRule="auto"/>
        <w:widowControl/>
        <w:pStyle w:val="BodyText2"/>
      </w:pPr>
      <w:r>
        <w:t>For better or for worse, the conflict and turbulence of the 1920s shaped philosophy in America in ways that remain visible and consequential today. The pPresidential addresses of The American Philosophical Association (The APA) delivered in the 1920s stand as a permanent record of those conflicts, with all of their implications for assessing what philosophy is and should be today.</w:t>
      </w:r>
    </w:p>
    <w:p>
      <w:pPr>
        <w:spacing w:line="240" w:lineRule="auto"/>
        <w:widowControl/>
        <w:pStyle w:val="BodyText2"/>
      </w:pPr>
      <w:r>
        <w:t xml:space="preserve">Neither grouping philosophies nor attempting to determine the overall trajectory of philosophy during a given period can be approached as an exact science. Regardless of how philosophies are categorized, ideas shared in common create overlap between the resulting groups. Thus, there may be valid arguments for different groupings. Philosophers subscribing to the vision of philosophical progress may also see ways in which such progress can be helpful to society, placing their thoughts in at least two categories. However, even philosophies that share much in common normally lean in one direction or another. A philosophy that is idealistic in its framework but is most often engaged in technical exposition for the purpose of refuting materialism arguably belongs in the category of philosophical progress, as opposed to that of idealism, because progress in resolving technical disputes is its overarching purpose. It is because philosophies normally lean in one direction or another with respect to relevant concerns that it is possible to place them within a scheme of categories, providing a basis from which to determine the general landscape of ideas during a given period and to infer philosophy’s overall trajectory. </w:t>
      </w:r>
    </w:p>
    <w:p>
      <w:pPr>
        <w:spacing w:line="240" w:lineRule="auto"/>
        <w:widowControl/>
        <w:pStyle w:val="BodyText2"/>
      </w:pPr>
      <w:r>
        <w:t>My analysis of The APA presidential addresses of the 1920s tells the story of philosophy in America during that period by placing the addresses discussed in one of three categories. Those categories stand for three major philosophical orientations that existed during that decade. The story of American philosophy during the 1920s then emerges as one of conflicting claims stemming from divergent philosophical trends competing for the future of philosophy. I use the same analysis to explain what philosophy is today and what it ought to be. What is ultimately relevant is not in which category a particular address is placed, but how each address displays one of three fundamental orientations, pulling philosophy in one direction as against the others.</w:t>
      </w:r>
    </w:p>
    <w:p>
      <w:pPr>
        <w:spacing w:line="240" w:lineRule="auto"/>
        <w:widowControl/>
        <w:pStyle w:val="BodyText2"/>
      </w:pPr>
      <w:r>
        <w:t xml:space="preserve">The categories that form the structure of my analysis derive from James Campbell’s groundbreaking study of the early history of The APA, </w:t>
      </w:r>
      <w:r>
        <w:rPr>
          <w:i/>
        </w:rPr>
        <w:t>A Thoughtful Profession</w:t>
      </w:r>
      <w:r>
        <w:t>. They are philosophical progress, practical wisdom, and idealism. Working from Campbell’s account</w:t>
      </w:r>
      <w:r>
        <w:rPr>
          <w:rStyle w:val="EndnoteReference"/>
        </w:rPr>
        <w:endnoteReference w:id="66"/>
      </w:r>
      <w:r>
        <w:t xml:space="preserve"> of Arthur (Schauffler) Oncken Lovejoy’s (1908–1909; 1916–1917) address entitled, “On Some Conditions of Progress in Philosophical Inquiry” (2:223–253), in which Lovejoy called on philosophy to progress, I define philosophical progress as the attempt by philosophers to agree on answers to specific technical questions. In other words, the aim of philosophical progress is to discover new facts. During the early years of American philosophical societies such as The APA, members often formed “discussion groups” in the hope of solving certain technical puzzles once and for all, creating philosophical progress. This was part of a larger effort to achieve among philosophers the same high levels of agreement about philosophical questions as that achieved by scientists with respect to scientific questions. The predominant discourse of philosophical progress was that of realism, a broad movement focused on clarifying the nature of knowledge and the methods and procedures of knowing. </w:t>
      </w:r>
    </w:p>
    <w:p>
      <w:pPr>
        <w:spacing w:line="240" w:lineRule="auto"/>
        <w:widowControl/>
        <w:pStyle w:val="BodyText2"/>
      </w:pPr>
      <w:r>
        <w:t xml:space="preserve">Several addresses given during the 1920s called for philosophical progress; others focused on making the case that philosophers should pursue practical wisdom of the sort that is useful in addressing the problems of human life, especially social problems. Such a re-focusing of philosophy would constitute a return to its ancient roots as an instrument of human flourishing. </w:t>
      </w:r>
    </w:p>
    <w:p>
      <w:pPr>
        <w:spacing w:line="240" w:lineRule="auto"/>
        <w:widowControl/>
        <w:pStyle w:val="BodyText2"/>
      </w:pPr>
      <w:r>
        <w:t xml:space="preserve">Still other addresses displayed a third basic orientation. They attempted to defend and strengthen the sort of idealistic philosophy that predominated in America during the late nineteenth century. Such addresses represent what might be called conservative tendencies within American philosophy, because they seek to conserve what was once widely viewed as the right orientation for philosophy by updating older arguments for idealism. While those addresses that fall under the category of idealism share an emphasis on human values with those grouped under that of practical wisdom, the idealistic addresses tended to place human values within the context of traditional religious ideas. In contrast, those addresses that called on philosophy to reaffirm its ancient commitment to practical wisdom saw a much more expansive role for philosophy in advancing human values. They often suggested that philosophers must proactively apply their expertise to address a wide range of social ills. </w:t>
      </w:r>
    </w:p>
    <w:p>
      <w:pPr>
        <w:spacing w:line="240" w:lineRule="auto"/>
        <w:widowControl/>
        <w:pStyle w:val="BodyText2"/>
      </w:pPr>
      <w:r>
        <w:t xml:space="preserve">Of the twenty-six addresses given during the 1920s, the sixteen addresses discussed here are those that most clearly exemplify one of the three philosophical tendencies I distinguish for the sake of my analysis. </w:t>
      </w:r>
    </w:p>
    <w:p>
      <w:pPr>
        <w:spacing w:line="240" w:lineRule="auto"/>
        <w:widowControl/>
        <w:pStyle w:val="BodyText2"/>
      </w:pPr>
      <w:r>
        <w:t>In “Progress in Philosophy in the Last Quarter Century,” Wilbur Marshall Urban (1925–1926) tied the notion of philosophical progress to a form of realism that would uncover objective truths about the world. He distinguished two conceptions of progress, before identifying the second as the more significant. First, he defined progress as “development from simplicity to complexity” (3:269). Philosophy routinely progresses just by growing more complex; it had certainly progressed in that sense between 1901, the year the APA was founded, and 1925. However, elaboration by itself is not progress “in any ultimate sense” (3:269). In distinguishing a second conception of progress, Urban referred to what he called the “criterion of totality” (3:270). Progress in an ultimate sense is total, occurring not just in one direction but in all. To Urban, the hallmark of real progress in philosophy is the expansion of “collective self-consciousness” (3:271) that occurs when the full “implications” of the latest advancements in human knowledge become widely realized and understood.</w:t>
      </w:r>
    </w:p>
    <w:p>
      <w:pPr>
        <w:spacing w:line="240" w:lineRule="auto"/>
        <w:widowControl/>
        <w:pStyle w:val="BodyText2"/>
      </w:pPr>
      <w:r>
        <w:t xml:space="preserve">One such advancement was Darwin’s theory of evolution. Urban declared that after Darwin, “no one can write philosophy in the same way.” He referred to understanding the full implications of evolution as “the specific task of this period.” True philosophical progress would mean not just working from the notion of evolution to devise new philosophical theories of greater complexity than their predecessors, but grasping how evolutionary ideas could fundamentally alter traditional philosophical projects, such as the search for truth. That would amount to “finding out what all this means for the collective consciousness of mankind” (3:272). </w:t>
      </w:r>
    </w:p>
    <w:p>
      <w:pPr>
        <w:spacing w:line="240" w:lineRule="auto"/>
        <w:widowControl/>
        <w:pStyle w:val="BodyText2"/>
      </w:pPr>
      <w:r>
        <w:t>At first, the spread of evolutionary thinking gave rise to genetic and pragmatic theories of knowledge that presented truth as a relative reality. While not destroying knowledge altogether, Urban argued, such theories “can denature it, can take all the value out of it” (3:280). This lesser form of philosophical progress eventually led to the real thing:</w:t>
      </w:r>
    </w:p>
    <w:p>
      <w:pPr>
        <w:ind w:left="446" w:firstLine="0"/>
        <w:spacing w:before="100" w:beforeAutospacing="0" w:after="100" w:afterAutospacing="0" w:line="240" w:lineRule="auto"/>
        <w:widowControl/>
        <w:pStyle w:val="BodyText2"/>
      </w:pPr>
      <w:r>
        <w:t xml:space="preserve">The revival of realism, both in Germany and in England and America, represents progress, not only in the sense of elaboration . . . but also in the larger sense of collective consciousness of the problems of knowledge and reality” (3:278). </w:t>
      </w:r>
    </w:p>
    <w:p>
      <w:pPr>
        <w:ind w:left="0" w:firstLine="0"/>
        <w:spacing w:line="240" w:lineRule="auto"/>
        <w:widowControl/>
        <w:pStyle w:val="BodyText2"/>
      </w:pPr>
      <w:r>
        <w:t xml:space="preserve">Compared to pragmatic theories of knowledge that quickly grew out of evolutionary thinking and threatened to infect truth with relativism, the “new realisms” established “a world of being that has intrinsic significance” (3:278). Urban concluded, “the ‘rake’s progress’ of pragmatic or genetic logic is about run” (3:279). </w:t>
      </w:r>
    </w:p>
    <w:p>
      <w:pPr>
        <w:spacing w:line="240" w:lineRule="auto"/>
        <w:widowControl/>
        <w:pStyle w:val="BodyText2"/>
      </w:pPr>
      <w:r>
        <w:t xml:space="preserve">In praising the new realisms with their account of truth as an objective reality, Urban put in place necessary conditions for the notion of philosophical progress that formed the basic orientation of one major group of philosophies during the 1920s. Without a body of objective truths to be gradually discovered, philosophical progress in the ultimate sense distinguished by Urban could not take place. </w:t>
      </w:r>
    </w:p>
    <w:p>
      <w:pPr>
        <w:spacing w:line="240" w:lineRule="auto"/>
        <w:widowControl/>
        <w:pStyle w:val="BodyText2"/>
      </w:pPr>
      <w:r>
        <w:t xml:space="preserve">In “Immediacy and Meaning,” George Plimpton Adams (1927–1928) reiterated the basic tenets of realism of the sort that formed the heart of the notion of philosophical progress. His targets were other versions of realism that posited immediate objects of consciousness that lacked inherent meaning. Both George Santayana and C. D. Broad described what amounted to “a self-contained and self-enclosed area of immediacy” (3:382). Adams grouped Clarence Irving Lewis’s (1933–1934; 1954–1955) pragmatic theory of knowledge and John Dewey’s (1905–1906) account of immediacy and meaning with the views of Santayana and Broad. All of these shared the “initial premise,” “there is somewhere in experience, cognitive or non-cognitive, an impervious nucleus of immediacy” (3:385). In other words, “the presence, in or before experience, of a content, the whole of whose nature and existence, as a somewhat immediately given, is exhaustively grasped in or by the process of experiencing it” (3:385) was the common thread uniting them. </w:t>
      </w:r>
    </w:p>
    <w:p>
      <w:pPr>
        <w:spacing w:line="240" w:lineRule="auto"/>
        <w:widowControl/>
        <w:pStyle w:val="BodyText2"/>
      </w:pPr>
      <w:r>
        <w:t>However, accepting the view that immediate objects of consciousness are inherently meaningless meant denying some or all of realism’s purported capacity to discover objective truth, weakening the case for the possibility of philosophical progress. Taking a different approach, Adams defended the thesis, “meaning as well as immediacy is present throughout all levels of conscious life or experience, whether cognitive or non-cognitive” (3:386). He claimed, “to suppose that any content can be immediately given without any trace of some such meaning is to commit what I should call the fallacy of detached and self-contained immediacy” (3:386). For Adams, “to recognize in all experience a fabric of meanings which transcend immediacy” is to render experience “intelligible” (3:395). His conclusion that experience is inherently meaningful and therefore intelligible places him in the same camp as Urban. Both Adams and Urban embraced the sort of epistemological realism that makes philosophical progress possible, when such progress is defined as describing an independent reality in ways that are increasingly accurate, until final conclusions can be reached.</w:t>
      </w:r>
    </w:p>
    <w:p>
      <w:pPr>
        <w:spacing w:line="240" w:lineRule="auto"/>
        <w:widowControl/>
        <w:pStyle w:val="BodyText2"/>
      </w:pPr>
      <w:r>
        <w:t xml:space="preserve">Because it proceeds as if establishing final answers to questions about how mind and body are related, Wilmon Henry Sheldon’s (1921–1922) “The Soul and Matter” anticipated the notion of philosophical progress that received its characteristic articulation in terms of epistemological realism later in the decade. Sheldon aimed to show that mind is both irreducible to physical processes and capable of causing “material changes” (3:61). For him, the claim that mind cannot be reduced to physical processes is best supported by the fact that mind has “properties or functions” that are incompatible with how physical nature operates. In memory, for example, a “past event is present” (3:57). Since “presence of the past” is “incompatible with the conditions of material reality” (3:57), it is clear to Sheldon that mind has at least one function that cannot be reduced to a material process. </w:t>
      </w:r>
    </w:p>
    <w:p>
      <w:pPr>
        <w:spacing w:line="240" w:lineRule="auto"/>
        <w:widowControl/>
        <w:pStyle w:val="BodyText2"/>
      </w:pPr>
      <w:r>
        <w:t>To show that mental phenomena can be causes of “material changes” (3:61), Sheldon moved from analysis of cognitive mental states to an account of mental states, which he called “affective-conative” (3:64). The hallmark of mental as opposed to material agency is that mental agency proceeds by “the presence of a future end” (3:67). Such agency originates in desire-based or affective-conative mental states. For example, when we desire to prolong pleasure, it is the presence to consciousness of what is desired, while, in another sense, that object is off in the future, that drives our behavior. This form of agency is “incompatible with material conditions which do not permit the future to be a cause” (3:67).</w:t>
      </w:r>
    </w:p>
    <w:p>
      <w:pPr>
        <w:spacing w:line="240" w:lineRule="auto"/>
        <w:widowControl/>
        <w:pStyle w:val="BodyText2"/>
      </w:pPr>
      <w:r>
        <w:t xml:space="preserve">By defining matter as that which has “the potency of offering resistance” (3:71), Sheldon developed a version of materialism that leaves open the possibility that mind is actually a “kind of matter” (3:72), one that is “far less restricted than the matter with which physical science is conversant” (3:72). An organism’s resistance to tendencies to behave in ways that foreshorten pleasure is an effect of affective-conative mental states aimed at prolonging pleasure. Such states are “mental” in that they do what physical processes are incapable of, namely enabling the future to be a cause of behavior, but they are clearly material in a more fundamental sense, inasmuch as they offer resistance to contrary tendencies impinging on them. </w:t>
      </w:r>
    </w:p>
    <w:p>
      <w:pPr>
        <w:spacing w:line="240" w:lineRule="auto"/>
        <w:widowControl/>
        <w:pStyle w:val="BodyText2"/>
      </w:pPr>
      <w:r>
        <w:t>From there, Sheldon attempted to establish the immortality of the soul on the basis that “mind-stuff” must be an “imperishable entity,” because “there is as much ground for believing it to be eternal as for believing physical atoms to be eternal.” This indicates to Sheldon that “mind-stuff” is actually “soul-substance.” He concluded, “the individual soul or person, being as substantial as any electron, is certain to endure” (3:73).</w:t>
      </w:r>
    </w:p>
    <w:p>
      <w:pPr>
        <w:spacing w:line="240" w:lineRule="auto"/>
        <w:widowControl/>
        <w:pStyle w:val="BodyText2"/>
      </w:pPr>
      <w:r>
        <w:t>William Pepperell Montague’s (1923–1924) “The Einstein Theory and a Possible Alternative” (3:147–166) further anticipated the notion of philosophical progress that Urban articulated. Montague explained why one of the assumptions behind Einstein’s special theory of relativity might be false and offers an alternative to that theory. Its efforts to improve upon scientific theories by adopting the discourse and methods of the physical sciences places Montague’s address squarely in the category of philosophical progress. Montague even designed an elaborate experiment, with input from colleagues in the Physics Department at Columbia University, to put one of Einstein’s theoretical assumptions to an empirical test that he thought would either confirm or disconfirm his suspicions about the special theory of relativity. It would be hard to devise a better example of philosophy attempting to “progress” by discovering new final facts about the world. The notion of philosophical progress that developed during the 1920s demanded no less from philosophy.</w:t>
      </w:r>
    </w:p>
    <w:p>
      <w:pPr>
        <w:spacing w:line="240" w:lineRule="auto"/>
        <w:widowControl/>
        <w:pStyle w:val="BodyText2"/>
      </w:pPr>
      <w:r>
        <w:t>If those addresses that either assumed or explicitly developed a framework of philosophical progress represented progressive tendencies within American philosophy, those that started from idealistic assumptions, some of which attempted to defend idealism by devising new and better arguments, represented tendencies that were essentially conservative. One example of the latter sort of address is Edgar Lenderson Hinman’s (1920–1921) “Modern Idealism and the Logos Teaching.” Hinman saw the idealism of his day developing away from its roots in a form of philosophical theism known as Logos theology. The rising stars in the world of idealism were pantheistic as opposed to being consistent with traditional Christian theism, as Logos theology was. To Hinman, this was an alarming trend for several reasons. First, “the pantheistic editing of modern idealism is not the better argued and more consistent one.” Second, that finite beings are “less than real” in pantheistic idealism meant that the “determinate conception of life and of cultural values . . . true to the spirit of the Christian outlook” that Logos theology preserved would “lose all point and significance.” If “every definite form of existence is supposed to be merged and absorbed into a pantheistic Absolute,” then any “characteristically Christian type of motivation” would be destroyed. In the third place, because pantheistic idealisms tend to view the Absolute as nothing more than the universe or the totality of existence, where “the actual itself is to display itself as rational,” they lean toward “elevated . . . secularism” or “refined paganism.” Such idealisms are fundamentally unsympathetic with a “specifically Christian interpretation” of culture (3:37–38).</w:t>
      </w:r>
    </w:p>
    <w:p>
      <w:pPr>
        <w:spacing w:line="240" w:lineRule="auto"/>
        <w:widowControl/>
        <w:pStyle w:val="BodyText2"/>
      </w:pPr>
      <w:r>
        <w:t xml:space="preserve">At the center of Logos theology is the ideal of the perfection of the individual through self-sacrifice for the benefit of a larger whole. Hinman’s purpose was to show that, while pantheistic idealists deviate in various ways from the true logic of idealism, that of Logos theology, modern Absolute idealism is in fact fully consistent with Logos theology. His focus was on the systems of two pantheistic idealists in particular, Bernard Bosanquet and Sarvepalli Radhakrishnan (3:38), both of whom he admired but wanted to correct. </w:t>
      </w:r>
    </w:p>
    <w:p>
      <w:pPr>
        <w:spacing w:line="240" w:lineRule="auto"/>
        <w:widowControl/>
        <w:pStyle w:val="BodyText2"/>
      </w:pPr>
      <w:r>
        <w:t>Of the philosophically “conservative” addresses of the 1920s, Hinman’s was perhaps the most extreme. Not only did he reject the epistemological realism that characterized the movement for philosophical progress, he did not even want to bring absolute idealism up to date. What Bosanquet and Radhakrishnan likely viewed as improvements on older formulations of idealism, Hinman saw as mistakes. Among his gravest concerns with newer forms of idealism was that they did not bring out the teleological character of the “world-system,” an essential feature of traditional idealism. To Hinman, the correct form of idealism supported the timeless values of Christianity. For examples of the correct form, he looked to “[Josiah] Royce [(1903–1904)] . . . and many writers of his type of thought” (3:38). That Royce, who died in 1916, had not fully embraced Absolute idealism he gave the Gifford Lectures between 1898 and 1900,</w:t>
      </w:r>
      <w:r>
        <w:rPr>
          <w:rStyle w:val="EndnoteReference"/>
        </w:rPr>
        <w:endnoteReference w:id="67"/>
      </w:r>
      <w:r>
        <w:rPr>
          <w:i/>
        </w:rPr>
        <w:t xml:space="preserve"> </w:t>
      </w:r>
      <w:r>
        <w:t>confirms that Hinman was fighting a distinctly rear-guard action.</w:t>
      </w:r>
    </w:p>
    <w:p>
      <w:pPr>
        <w:spacing w:line="240" w:lineRule="auto"/>
        <w:widowControl/>
        <w:pStyle w:val="BodyText2"/>
      </w:pPr>
      <w:r>
        <w:t xml:space="preserve">William Ernest Hocking (1926–1927; 1927–1928), perhaps the most eminent philosopher among The APA presidents of the 1920s, was also committed to idealism, although he sensed that it would have to be updated from what it had been during the late nineteenth century. In “Mind and Near-Mind,” Hocking called for the development of a true “science of mind.” That Hocking wanted a “science” rather than a philosophy of mind suggests he was aware of and perhaps sympathetic with the idea that philosophy should attempt to progress by imitating the sciences. At the same time, however, he was convinced that philosophy must continue to operate within an idealistic framework, rather than embracing the realism normally associated with the philosophical progress movement. Hocking warned that previous attempts to create a science of mind, instead of “dealing with mind itself,” dealt by mistake with what he called “near-mind.” That category encompassed a variety of “substitutes for mind” that are “systems of objects . . . equivalent to mind only for certain restricted purposes.” To Hocking, a true science of mind would be at the same time a science of the self and of human nature. Moreover, such a science would “supply the lacking continuity among the sciences” (3:313). </w:t>
      </w:r>
    </w:p>
    <w:p>
      <w:pPr>
        <w:spacing w:line="240" w:lineRule="auto"/>
        <w:widowControl/>
        <w:pStyle w:val="BodyText2"/>
      </w:pPr>
      <w:r>
        <w:t>One reason continuity among the sciences was lacking at that time was that attempts to apply the procedures and methods of the physical and mathematical sciences to the mind had been less than fully successful. This was largely due to confusing mind and near-mind. Physical processes must be understood in terms of cause and effect, but “a causal system can at best be but a Near-mind” (3:315). However, minds and near-minds are not “profoundly distinct and disparate in nature” (3:313–314). While mental processes are “at least partly rational” and must therefore be explained at least partially in terms of reasons, such processes are also in some sense causal. This is one basis for the continuity that exists between the physical sciences and psychology. As Hocking aptly put it matter:</w:t>
      </w:r>
    </w:p>
    <w:p>
      <w:pPr>
        <w:ind w:left="446"/>
        <w:spacing w:before="100" w:beforeAutospacing="0" w:after="100" w:afterAutospacing="0"/>
        <w:jc w:val="both"/>
        <w:widowControl/>
        <w:tabs>
          <w:tab w:val="left" w:pos="432" w:leader="none"/>
          <w:tab w:val="left" w:pos="864" w:leader="none"/>
          <w:tab w:val="left" w:pos="1296" w:leader="none"/>
          <w:tab w:val="left" w:pos="1728" w:leader="none"/>
          <w:tab w:val="left" w:pos="2160" w:leader="none"/>
          <w:tab w:val="left" w:pos="2592" w:leader="none"/>
          <w:tab w:val="left" w:pos="3024" w:leader="none"/>
          <w:tab w:val="left" w:pos="3456" w:leader="none"/>
          <w:tab w:val="left" w:pos="3888" w:leader="none"/>
          <w:tab w:val="left" w:pos="4320" w:leader="none"/>
          <w:tab w:val="left" w:pos="4752" w:leader="none"/>
          <w:tab w:val="left" w:pos="5184" w:leader="none"/>
          <w:tab w:val="left" w:pos="5616" w:leader="none"/>
          <w:tab w:val="left" w:pos="6048" w:leader="none"/>
          <w:tab w:val="left" w:pos="6480" w:leader="none"/>
        </w:tabs>
        <w:rPr>
          <w:rFonts w:ascii="Times New Roman" w:hAnsi="Times New Roman" w:eastAsia="Times New Roman"/>
          <w:sz w:val="20"/>
          <w:color w:val="auto"/>
        </w:rPr>
      </w:pPr>
      <w:r>
        <w:rPr>
          <w:rFonts w:ascii="Times New Roman" w:hAnsi="Times New Roman" w:eastAsia="Times New Roman"/>
          <w:sz w:val="20"/>
          <w:color w:val="auto"/>
        </w:rPr>
        <w:t xml:space="preserve">The mind, then, differs from every object of nature in being in addition a hold upon the possible, the future, the valuable—or, to put these together, upon possible future value. Its essential activity is to bring possible future value into connection with actual present fact; and my proposition is that it is the </w:t>
      </w:r>
      <w:r>
        <w:rPr>
          <w:rFonts w:ascii="Times New Roman" w:hAnsi="Times New Roman" w:eastAsia="Times New Roman"/>
          <w:sz w:val="20"/>
          <w:i/>
          <w:color w:val="auto"/>
        </w:rPr>
        <w:t>only agency for doing this</w:t>
      </w:r>
      <w:r>
        <w:rPr>
          <w:rFonts w:ascii="Times New Roman" w:hAnsi="Times New Roman" w:eastAsia="Times New Roman"/>
          <w:sz w:val="20"/>
          <w:color w:val="auto"/>
        </w:rPr>
        <w:t>. (3:320)</w:t>
      </w:r>
    </w:p>
    <w:p>
      <w:pPr>
        <w:ind w:left="0" w:firstLine="0"/>
        <w:spacing w:line="240" w:lineRule="auto"/>
        <w:widowControl/>
        <w:pStyle w:val="BodyText2"/>
      </w:pPr>
      <w:r>
        <w:t xml:space="preserve">A true science of mind would attempt to infer the laws of mind by observing mind’s “characteristic activity,” rather than by working backwards from the laws of physics to those of mind. This a posteriori procedure, shared with the physical sciences, would further cement their continuity with psychology. </w:t>
      </w:r>
    </w:p>
    <w:p>
      <w:pPr>
        <w:spacing w:line="240" w:lineRule="auto"/>
        <w:widowControl/>
        <w:pStyle w:val="BodyText2"/>
      </w:pPr>
      <w:r>
        <w:t xml:space="preserve">Although the idealistic framework of Hocking’s thought is not front and center in “Mind and Near-Mind,” his view of mind as an “agency” for actualizing possibilities belongs to the tradition of idealism. More significant for the present analysis is that Hocking viewed his account of mentality as a developing science that belongs alongside physics and mathematics. Unlike Hinman, he was not seeking to recover an “orthodox” version of idealism, but was looking for ways in which idealism could be modernized without surrendering its essential claims. </w:t>
      </w:r>
    </w:p>
    <w:p>
      <w:pPr>
        <w:spacing w:line="240" w:lineRule="auto"/>
        <w:widowControl/>
        <w:pStyle w:val="BodyText2"/>
      </w:pPr>
      <w:r>
        <w:t xml:space="preserve">In “What Does Philosophy Say?,” Hocking immediately distanced himself from the notion of philosophical progress by declaring that philosophy “has no corporate judgment” (3:397) and by affirming “the everlasting importance of differing” (3:398). At the same time, he thought philosophy had to be getting at objective truth. To Hocking, while Americans had been “an unphilosophical people,” he was writing at a time when that tide was beginning to turn. “This is for us a great moment,” he asserted, “also a responsible and a dangerous moment” (3:398). A central question for him was “whether, without falling into any of the vices of orthodoxy, we cannot do what the instinct of our students seems to require of us, and present philosophy as having something to say both objective and sayable” (3:400). He lamented that, looking at the most ingenious works of philosophy, probably no professional philosopher “finds any proposition which he can adopt as it stands” (3:401). To him, there was “something melancholy about it all, this immense waste of gifted energy and hope” (3:401). However, this was not Hocking’s final conclusion about philosophy’s limits. He claimed there are “certain views about the universe which are assumed or postulated in the nature of the philosophic enterprise itself, so that every philosopher by his activity, if not by his doctrines, acknowledges them” (3:402). </w:t>
      </w:r>
    </w:p>
    <w:p>
      <w:pPr>
        <w:spacing w:line="240" w:lineRule="auto"/>
        <w:widowControl/>
        <w:pStyle w:val="BodyText2"/>
      </w:pPr>
      <w:r>
        <w:t xml:space="preserve">Hocking held that all philosophers require at least three propositions: “that things have a meaning,” “that we human beings are competent to grasp that meaning, or some of it,” and “that it is worthwhile to do so, and ought to be attempted” (3:403). The first assumption, that things have a meaning, means “there is nothing meaningless in the world (taking things one by one) and (taking them collectively) the world as a whole is not meaningless” (3:404). That, according to radical empiricism, we do not experience meaning directly does not “afford justification for supposing that no meaning is there” (3:404). The second part of the assumption, that the whole can have meaning, leads to a logical “difficulty,” because meaning is “relative,” applying “only to what is partial” (3:405). Hocking’s response to this difficulty is that here “our intuitions must give instruction to our logic” (3:405). To him, “we know . . . [that] unless the whole . . . has meaning, the meanings of the parts are illusory” (3:405). </w:t>
      </w:r>
    </w:p>
    <w:p>
      <w:pPr>
        <w:spacing w:line="240" w:lineRule="auto"/>
        <w:widowControl/>
        <w:pStyle w:val="BodyText2"/>
      </w:pPr>
      <w:r>
        <w:t xml:space="preserve">Regarding the second assumption that all philosophers must make, that we can grasp some of the meaning in things, Hocking was clear that meaning does not exist in relation to intelligent beings but actually inheres in things and in the world as a whole. “When we postulate that things have meanings,” he said, “we are putting the meanings on the same plane of objectivity with the things” (3:408). Moreover, “the structure of the world is in itself significant: there is, in some sense, an objective reason in the make-up of things” (3:409). That meaning exists irrespective of its relation to us does not mean we are incapable of grasping it. On the contrary, “to suppose that the world has produced meaning-seekers incompetent to assess meanings is to suppose a typically meaningless situation, such as our first postulate forbids us to assume” (3:410). </w:t>
      </w:r>
    </w:p>
    <w:p>
      <w:pPr>
        <w:spacing w:line="240" w:lineRule="auto"/>
        <w:widowControl/>
        <w:pStyle w:val="BodyText2"/>
      </w:pPr>
      <w:r>
        <w:t>Hocking’s third assumption was that, because meanings inhere in things and in the world as a whole, and because we are capable of knowing those meanings, “they ought to be known by us . . . [it is] a sort of cosmic pity if they are not.” The presence of meaning in objects creates an “imperative” to know those meanings. He concluded:</w:t>
      </w:r>
    </w:p>
    <w:p>
      <w:pPr>
        <w:ind w:left="446"/>
        <w:spacing w:before="100" w:beforeAutospacing="0" w:after="100" w:afterAutospacing="0" w:line="240" w:lineRule="auto"/>
        <w:widowControl/>
        <w:pStyle w:val="blockquote"/>
        <w:tabs>
          <w:tab w:val="clear" w:pos="215"/>
        </w:tabs>
      </w:pPr>
      <w:r>
        <w:t>philosophy is possible . . . because the meanings are first of all actually there; because they are such as our reasons are destined to reproduce; and because the incentive to find them is the call of reality itself. And we add, that as knowledge is one of the objective values of the world, the philosopher’s joy in the apprehension of meaning is at the same time a realization of the cosmic nisus toward being known. (3:411–412)</w:t>
      </w:r>
    </w:p>
    <w:p>
      <w:pPr>
        <w:spacing w:line="240" w:lineRule="auto"/>
        <w:widowControl/>
        <w:pStyle w:val="BodyText2"/>
      </w:pPr>
      <w:r>
        <w:t xml:space="preserve">While Hocking rejected the idea that philosophy can proceed by “corporate judgment,” distinguishing his view from that of philosophical progress, his claim that things and their meanings are “on the same plane of objectivity” would seem to shift his position closer to something like philosophical progress. If there are objective meanings to be discovered by philosophers, then it stands to reason that philosophy can progress by discovering them and even that philosophers can eventually agree on what they are. Hocking praised disagreement among philosophers not as a desirable end but as a means of reaching agreement. </w:t>
      </w:r>
    </w:p>
    <w:p>
      <w:pPr>
        <w:spacing w:line="240" w:lineRule="auto"/>
        <w:widowControl/>
        <w:pStyle w:val="BodyText2"/>
      </w:pPr>
      <w:r>
        <w:t xml:space="preserve">Yet there is at least one reason for not placing Hocking’s address in the category of philosophical progress. I refer to Hocking’s claim that values are among the objective “meanings” to be discovered by philosophy. While it is true that the realism underlying philosophical progress assumes that there is an objective reality that can be known, many realists argue that values are excluded from that reality. To them, values are distortions introduced from the side of the inquirer that would have to be discounted before objective reality could be known. This is appropriately consistent with the scientific method that is their model. The central claim of one version of realism is that the nature of objective reality is essentially different from that of human discourse. Hocking showed his idealism by insisting that independent reality consists of the terms of human thought and judgment, namely meaning and value. The fact that his address arguably belongs under at least two categories—philosophical progress and idealism—nicely showcases the direction of the prevailing winds of doctrine, from the idealism of the nineteenth century to an imitation of science-like progress by discovering value-neutral facts. </w:t>
      </w:r>
    </w:p>
    <w:p>
      <w:pPr>
        <w:spacing w:line="240" w:lineRule="auto"/>
        <w:widowControl/>
        <w:pStyle w:val="BodyText2"/>
      </w:pPr>
      <w:r>
        <w:t xml:space="preserve">Besides searching for ways of making philosophy progress and attempting to modernize the idealism of an age that was rapidly passing away, The APA presidents of the 1920s often sought to reconnect philosophy with the ancient quest for practical wisdom. For the most part, however, such presidents wanted philosophers to address social problems rather than proposing what individuals might do to improve their lives. While he does not suggest how philosophy should respond to social problems, pragmatist Ralph Barton Perry (1920–1921) concerned himself with establishing a necessary condition of avoiding social disasters. In “The Appeal to Reason,” Perry attempted to provide “a clarification of the status and functions of reason in human affairs.” The need for this came from the “modern denial” of reason, which resulted in “the great calamity which has overtaken European civilization during the last six years,” World War I. The war convinced a great many people that “the fortunes of mankind are the work of insidious and catastrophic forces which reason at its best can only witness and helplessly deplore” (3:29). Perry’s thesis was that reason can control human behavior, even if that is not always what happens. There was, then, no basis for being so cynical as to think that humans lack the very requirements of avoiding social catastrophes. </w:t>
      </w:r>
    </w:p>
    <w:p>
      <w:pPr>
        <w:spacing w:line="240" w:lineRule="auto"/>
        <w:widowControl/>
        <w:pStyle w:val="BodyText2"/>
      </w:pPr>
      <w:r>
        <w:t xml:space="preserve">What was the intellectual basis of the “modern denial of reason”? An important contributing factor was a false dichotomy between the purposive and the mechanical side of human nature. This had emerged because of widespread sentimental attachment to purposiveness, which had long been viewed as the single feature distinguishing human beings from animals and “physical nature.” Scientists responded by allowing non-scientists to interpret human nature in terms of purposiveness, while focusing their own interpretations exclusively on “the causal nexus of nature” (3:7), concluding that any “‘higher’ or ‘spiritual’ processes of man are inefficacious” (3:7). Either human behavior was completely determined by “spiritual” processes, such as purposes, or its source was completely mechanical in nature. However, it was hard to see how behavior could be controlled by “spiritual” processes, if such processes were “inefficacious.” Perry called the claims of scientists to the effect that reasons and purposes do not control human behavior “absurd and scandalous” (3:10). To him, such claims were contradicted by ordinary experience, which shows that humans routinely act according to purposes and plans. It is obvious that human behavior is purposive, so “we should not ask ourselves whether reason and purpose control human conduct, but how they control it” (3:10). </w:t>
      </w:r>
    </w:p>
    <w:p>
      <w:pPr>
        <w:spacing w:line="240" w:lineRule="auto"/>
        <w:widowControl/>
        <w:pStyle w:val="BodyText2"/>
      </w:pPr>
      <w:r>
        <w:t xml:space="preserve">To explain how reason controls our behavior, Perry proposed something like a functionalist account of human intelligence, which he defined as establishing “stable and reliable beliefs” through trial and error (3:11). Even critics of reason would likely agree that better understanding of our own behavior often leads to behavior that is less instinctive and more rational. Such a functional account avoids the “absurd” conclusion that purposes and beliefs cannot enter into the determination of human behavior, because they are “spiritual” realities, “[that] are nowhere in mesh with the driving wheels, but simply fan the air” (3:7). It is this that enables Perry to conclude that human behavior can be rational, rather than being a product of “forces which reason . . . can only witness and helplessly deplore.” </w:t>
      </w:r>
    </w:p>
    <w:p>
      <w:pPr>
        <w:spacing w:line="240" w:lineRule="auto"/>
        <w:widowControl/>
        <w:pStyle w:val="BodyText2"/>
      </w:pPr>
      <w:r>
        <w:t>While there are no recommendations regarding specific social problems in Perry’s account of reason, it did allow for the possibility that humans will avoid social calamities by relying on reason to determine their actions, even if that is not what we end up doing. On top of viewing philosophy as establishing the necessary conditions for the possibility of rational behavior, Perry clearly saw the love of wisdom as an activity of reason capable of guiding societies toward the greater good.</w:t>
      </w:r>
    </w:p>
    <w:p>
      <w:pPr>
        <w:spacing w:line="240" w:lineRule="auto"/>
        <w:widowControl/>
        <w:pStyle w:val="BodyText2"/>
      </w:pPr>
      <w:r>
        <w:t xml:space="preserve">A year earlier, in 1922, Edward Scribner Ames (1921–1922) had given an address entitled, “Religious Values and the Practical Absolute,” that went even further in the direction of showing how philosophy can address social problems. In religion, Ames saw a powerful ally of “democratic-scientific” (3:88) societies in their quest for moral progress. Between 1900 and 1922, a new understanding of religion had been reached that was largely “functional or behavioristic.” The new consensus was that religion is best defined as “an active striving toward the realization of desired ends or felt values” that are “ideal and social in character” (3:81). This suggested that much common ground now existed between religion and science, inasmuch as science aims at improving human life. Moreover, religion had “learned to direct attention to the ideal of democracy, recognizing that this ideal fundamentally involves the qualities of neighborliness and genuine respect and love of fellow man” (3:88). Christianity in particular faced “a new epoch . . . [that] requires that she identify herself completely in spirit and purpose with the highest values of modern democracy and science” (3:89). </w:t>
      </w:r>
    </w:p>
    <w:p>
      <w:pPr>
        <w:spacing w:line="240" w:lineRule="auto"/>
        <w:widowControl/>
        <w:pStyle w:val="BodyText2"/>
      </w:pPr>
      <w:r>
        <w:t xml:space="preserve">This did not mean that religion and science could be friendly at all levels. On the contrary, in its “narrower role” as a “detached reflective investigator” (3:91), science has been “irritating and confusing to the practical spirit of religion” (3:91). Ames analogized science in this mode to “a strenuous physician and surgeon producing a powerful catharsis and amputating limbs and removing organs decadent and useless, or infected by superstition” (3:91). But for religion to be successful in promoting the values of a democratic-scientific society, it would have to work together with science, at least on a practical level. Religion had long operated in the realm of what Ames called “practical absolutes,” emerging from the human struggle to survive and flourish in a difficult world. Because success in that struggle demands the ability to act decisively, religious values had to be accepted as absolutes. Now scientific evidence could help identify those values and plans that should be treated as practical absolutes, within an ongoing process of inquiry leading to better “absolutes” (3:92). </w:t>
      </w:r>
    </w:p>
    <w:p>
      <w:pPr>
        <w:spacing w:line="240" w:lineRule="auto"/>
        <w:widowControl/>
        <w:pStyle w:val="BodyText2"/>
      </w:pPr>
      <w:r>
        <w:t>For religion, the cost of successfully merging with “the democratic-scientific project” was that it would have to surrender all claims to infallibility and embrace “unreservedly the value of science both in its method and in its results” (3:92). In Ames’s opinion, however, their marriage was bound to accelerate moral progress. Science by itself was “already yielding results so encouraging and so full of promise that the projects of expert social engineers are beginning to be thought of as guides to new social values which are genuinely religious” (3:93). The natural next step was that science and religion should be united by their mutual commitment to the greater good of society. This was the vision of moral progress driven by secular intellectuals with near-religious fervor that was destined to achieve widespread popularity through the efforts of Dewey and other progressives.</w:t>
      </w:r>
    </w:p>
    <w:p>
      <w:pPr>
        <w:spacing w:line="240" w:lineRule="auto"/>
        <w:widowControl/>
        <w:pStyle w:val="BodyText2"/>
      </w:pPr>
      <w:r>
        <w:t xml:space="preserve">Also speaking in 1922, Walter Goodnow Everett (1922–1923), in an address entitled “The Problem of Progress,” considered not philosophical progress but moral progress at the level of societies, placing his remarks squarely in the category of reconnecting philosophy with its ancient quest for practical wisdom. Everett’s overall purpose was to defend progress as a “working ideal” (3:123). That ideal, he thought, should be “construed primarily as a present fact and achievement, not merely as a hope for the remote future” (3:128). Moreover, its practical objectives ought to be “found in attacking existing evils that thwart and cripple humanity, and in directing creative energy to the enlargement of [humanity’s] more immediate meaning and worth” (3:128). To this attention to the present Everett recommended adding a “reasonable concern for the more immediate future” (3:128). Disregarding our obligations to posterity “is usually linked with ignorance, selfishness, and trivial gratification” (3:128). </w:t>
      </w:r>
    </w:p>
    <w:p>
      <w:pPr>
        <w:spacing w:line="240" w:lineRule="auto"/>
        <w:widowControl/>
        <w:pStyle w:val="BodyText2"/>
      </w:pPr>
      <w:r>
        <w:t xml:space="preserve">While “classical idealism” led to the view that morality “is made to involve the demand for . . . perfection on the part of finite beings, and because this perfection never is, and never can be, reached in the successive stages of individual and social effort, morality is convicted of inherent contradiction and failure” (3:128), Everett argued the opposite: “When I listen most attentively to the best voices that speak within me,” he explained: </w:t>
      </w:r>
    </w:p>
    <w:p>
      <w:pPr>
        <w:ind w:left="446"/>
        <w:spacing w:before="100" w:beforeAutospacing="0" w:after="100" w:afterAutospacing="0" w:line="240" w:lineRule="auto"/>
        <w:widowControl/>
        <w:pStyle w:val="blockquote"/>
        <w:tabs>
          <w:tab w:val="clear" w:pos="215"/>
        </w:tabs>
      </w:pPr>
      <w:r>
        <w:t xml:space="preserve">I find an imperative . . . which bids me seek the good with all my strength, and to have no other will or purpose than that which is dictated by its requirements. But with a clearness equal to that with which I recognize this obligation, I also see that this imperative is neither a requirement nor a pledge of perfection. (3:129) </w:t>
      </w:r>
    </w:p>
    <w:p>
      <w:pPr>
        <w:spacing w:line="240" w:lineRule="auto"/>
        <w:widowControl/>
        <w:pStyle w:val="BodyText"/>
      </w:pPr>
      <w:r>
        <w:t xml:space="preserve">Even if we are prepared to say that the very notion of progress contains within it “the idea of the perfect,” we find that the perfect has “no concrete content” (3:129). It turns out to be “a limiting rather than a defining concept” (3:129). We must not “require the impossible,” Everett warned, because that is to “relax our hold on the possible” (3:129). </w:t>
      </w:r>
    </w:p>
    <w:p>
      <w:pPr>
        <w:spacing w:line="240" w:lineRule="auto"/>
        <w:widowControl/>
        <w:pStyle w:val="BodyText2"/>
      </w:pPr>
      <w:r>
        <w:t>Everett defined progress as both “the effort to overcome evil” and the discovery and realization of the good “in richer forms and in wider range of meaning” (3:136). But the demand for richer forms and wider meanings of the good did not commit him to an ideal of infinite progress. “To the end,” he assured his audience, “death and accident, defeat and suffering will play their part in the drama of existence” (3:137). Nor did he embrace an idealized vision of social reform, as others did who argued for a rebirth of philosophy as an instrument for improving human life. To Everett, it was “an axiomatic truth” that:</w:t>
      </w:r>
    </w:p>
    <w:p>
      <w:pPr>
        <w:ind w:left="446" w:firstLine="0"/>
        <w:spacing w:before="100" w:beforeAutospacing="0" w:after="100" w:afterAutospacing="0" w:line="240" w:lineRule="auto"/>
        <w:widowControl/>
        <w:pStyle w:val="BodyText2"/>
      </w:pPr>
      <w:r>
        <w:t>most movements of social reform are bound to be disappointing. Some single principle or line of advance seems to its advocates to promise a golden era. Evils, however, have a way of reappearing in other forms, because they are grounded in human nature and its environment. (3:138)</w:t>
      </w:r>
    </w:p>
    <w:p>
      <w:pPr>
        <w:ind w:left="0" w:firstLine="0"/>
        <w:spacing w:line="240" w:lineRule="auto"/>
        <w:widowControl/>
        <w:pStyle w:val="BodyText2"/>
      </w:pPr>
      <w:r>
        <w:t>However, that does not destroy the value of “genuine experimentation” with respect to the arrangements that constitute societies, recognizing that value would reduce the “danger of assuming that, because customs and institutions have hardened into rigid forms, no others are desirable or possible” (3:138). While not aiming for or expecting perfection, we must do our best to make things incrementally better. Of all the views of philosophy as an engine of moral progress presented in the addresses of the 1920s, Everett’s was perhaps the one most in line with common sense and the lessons of ordinary experience.</w:t>
      </w:r>
    </w:p>
    <w:p>
      <w:pPr>
        <w:spacing w:line="240" w:lineRule="auto"/>
        <w:widowControl/>
        <w:pStyle w:val="BodyText2"/>
      </w:pPr>
      <w:r>
        <w:t xml:space="preserve">A common theme in a number of addresses making the case for returning philosophy to its centuries-old search for practical wisdom in the service of society is naturalism. However, while naturalism can be construed in ways that stress human helplessness in a vast, non-human environment, presidents who dealt with naturalism tended to present it as enabling and motivating human effort aimed at the greater good. In “The Emergence of Naturalism,” Roy Wood Sellars (1923–1924) referred to “many surprises” that had occurred in philosophy “during the last two decades.” The growth of pragmatism and realism were among them, as was the rise of “a more adequate type of naturalism” (3:173). </w:t>
      </w:r>
    </w:p>
    <w:p>
      <w:pPr>
        <w:spacing w:line="240" w:lineRule="auto"/>
        <w:widowControl/>
        <w:pStyle w:val="BodyText2"/>
      </w:pPr>
      <w:r>
        <w:t>Sellars was writing in what he viewed as “a period of transition” between “the old view of the world and of man’s life and the new which is forming” (3:175). He offered an extended narrative of the gradual emergence and clarification of naturalism since the ancient Greeks. There were plenty of “technical inadequacies” of ancient naturalism, but “the central and admirable feature remains—a clear-eyed, courageous choice of a rational view of things, seen only in part, and yet felt to underlie the vast procession of nature” (3:182). He described “three forces” that “dissolved” the “theological interpretation of the world” after the Middle Ages. These were “change of interest, growth of self-confidence, and increase of knowledge” (3:184). He also distinguished subjective from objective naturalism (3:186). He concluded, “once more the current is setting toward naturalism, but a naturalism with a broader and more thoroughly tested foundation. Once more, then, naturalism is emerging” (3:191).</w:t>
      </w:r>
    </w:p>
    <w:p>
      <w:pPr>
        <w:spacing w:line="240" w:lineRule="auto"/>
        <w:widowControl/>
        <w:pStyle w:val="BodyText2"/>
      </w:pPr>
      <w:r>
        <w:t xml:space="preserve">The trouble with past naturalisms had been their “supposedly negative and forbidding atmosphere” that seems to have “rendered many people desperate adherents of supernaturalism. They have felt themselves hanging over an abyss of mechanical processes which had no relationship to value,” Hence, the naturalism now emerging must be combined with humanism. “It must be humanism which comprehends in the concrete that man’s aims and satisfaction are not alien to his environment, but grow from it and secure their meaning from their setting” (3:192). Moreover, until naturalism combines with humanism, naturalism will be “unable to compete with the subtler forms of supernaturalism which people the vast beyond, which eludes our senses with beckoning hands and chants of angels” (3:192). </w:t>
      </w:r>
    </w:p>
    <w:p>
      <w:pPr>
        <w:spacing w:line="240" w:lineRule="auto"/>
        <w:widowControl/>
        <w:pStyle w:val="BodyText2"/>
      </w:pPr>
      <w:r>
        <w:t xml:space="preserve">While not explicitly arguing that moral progress should be increasingly driven by philosophers in search of practical wisdom after the fashion of the ancients, Sellars set the stage for that view by playing up the notion that nature supports human effort. A similar point was made by William James (1906–1907), who argued that if nature does not positively guarantee the eventual triumph of good over evil, we can at least rest assured that it is “congenial” to human purposes. The modest notions of James and Sellars to the effect that whatever the ultimate outcome of human efforts, nature is not openly hostile to them would lead to much grander visions of what we can expect to accomplish through the use of intelligence, especially in its more articulate forms. Well beyond the 1920s, pragmatists such as Dewey presented human intelligence as nearly unlimited in its potential for improving society. </w:t>
      </w:r>
    </w:p>
    <w:p>
      <w:pPr>
        <w:spacing w:line="240" w:lineRule="auto"/>
        <w:widowControl/>
        <w:pStyle w:val="BodyText2"/>
      </w:pPr>
      <w:r>
        <w:t>Another ingredient in the view that driving large-scale moral progress should be the primary mission of philosophers is that there is no sharp division between values and facts. Philosophers’ visions of progress are far easier to implement if the facts with which they must work in doing so are not essentially alien to human purposes. Taking up a version of this argument, Edmund Howard Hollands (1924–1925), in “Nature and Spirit,” offered a critique of the distinction between facts and values. In his view, values direct us to facts in the first place and even shape the facts or realities to which they lead us. While classical thinkers recognized no difference between objects of knowledge and the subjects knowing them, seeing humans as fully integrated with the natural world, later theorists tended to posit a division between thinking minds and the world about which those minds did their thinking. To Hollands, this division was “a great cause for the lack of calm and poise, the felt presence of inner conflict and disunion, which has been noticed as distinguishing the temper of the modern man from that exhibited in classical literature” (3:241). It also led to a false theory of how scientific hypotheses arise. They do not issue from impartial minds lacking all internal connection to their objects but flow instead from the interest we naturally take in the world around us.</w:t>
      </w:r>
    </w:p>
    <w:p>
      <w:pPr>
        <w:spacing w:line="240" w:lineRule="auto"/>
        <w:widowControl/>
        <w:pStyle w:val="BodyText2"/>
      </w:pPr>
      <w:r>
        <w:t xml:space="preserve">The notion that interest is somehow at odds with scientific inquiry is one Hollands did not take seriously. On the contrary, all forms of “organized thinking” are undergirded and supported by “immediate feeling and conviction,” according to him. Such immediacy is a “normal phase of experience, not to be explained away, of which any adequate philosophy must take account” (3:242). Mysticism is an easy target for criticism, because one can simply deny that mystical states yield knowledge of the world. However, all the “greater philosophies” with their “great constructive systems” were devised on the basis of some immediate intuition about the direction in which truth lies. Heavyweight philosophers from Plato to Bergson developed their systems from “mystical roots” (3:244). As Hollands indicated, his thesis is nicely captured by a sentence from Plato, who wrote, “the things known not only obtain from the Good their being known, but also their being and their essence” (3:247). </w:t>
      </w:r>
    </w:p>
    <w:p>
      <w:pPr>
        <w:spacing w:line="240" w:lineRule="auto"/>
        <w:widowControl/>
        <w:pStyle w:val="BodyText2"/>
      </w:pPr>
      <w:r>
        <w:t xml:space="preserve">The claim that </w:t>
      </w:r>
      <w:r>
        <w:rPr>
          <w:i/>
        </w:rPr>
        <w:t>what</w:t>
      </w:r>
      <w:r>
        <w:t xml:space="preserve"> we know obtains from the Good its </w:t>
      </w:r>
      <w:r>
        <w:rPr>
          <w:i/>
        </w:rPr>
        <w:t>being known</w:t>
      </w:r>
      <w:r>
        <w:t xml:space="preserve"> is, at most, mild. As interested beings, we are naturally drawn to some facts, while hardly noticing others. Even the stronger claim that objects of knowledge also derive from the Good “their being and their essence” is on the milder side. Our purposes clearly shape what objects are to us. However, while these claims, as stated by Hollands, are not overly strong, that he did not explain their limits left the door open for the extreme view that facts are mostly if not entirely malleable to human intelligence. Such a view obviously favors the notion that above all, philosophers ought to be driving moral progress on a grand scale, since, if that view is true, then little else besides lack of intelligence, imagination, or creativity stands in the way of such progress. </w:t>
      </w:r>
    </w:p>
    <w:p>
      <w:pPr>
        <w:spacing w:line="240" w:lineRule="auto"/>
        <w:widowControl/>
        <w:pStyle w:val="BodyText2"/>
      </w:pPr>
      <w:r>
        <w:t>Of the presidents whose addresses directly touched the idea that philosophers should provide the practical wisdom necessary for moral progress, George Rebec’s (1925–1926) touch was perhaps the lightest. “Back to the Antinomies” was largely historical and technical, but it managed, if only briefly, to raise the question of the limits of moral progress. Rebec saw contemporary life and thought as shaped largely by the ancient problem of the one and the many. To him, attempts to sort out this problem provided the basic conceptual framework for Western thought, not only in the ancient world, but also during the Middle Ages, the modern period, and up to the time he was writing. The problem of the one and the many is a sort of “antinomy” or “paradox,” because its underlying assumption is that somehow the infinite must be present in the finite. For example, abstract thinking requires the use of universals, such as “human” or “good.” However, if individual beings are to belong to universal classes, then they must embody the complete forms that designate those classes. It does not make sense to say that a being embodying part of the form of humanity belongs to the “human” class. But if each individual human embodies the complete form of humanity, then the infinite is present in the finite, creating a paradox or antinomy.</w:t>
      </w:r>
    </w:p>
    <w:p>
      <w:pPr>
        <w:spacing w:line="240" w:lineRule="auto"/>
        <w:widowControl/>
        <w:pStyle w:val="BodyText2"/>
      </w:pPr>
      <w:r>
        <w:t>Empirically minded philosophers have been content to ignore this problem, focusing instead on the fact that individual beings exist, while also belonging to conceptual classes. There is no need to explain how a relation is possible, if that relation is obviously actual. To them, the fact that the infinite must be present in the finite is an ultimate puzzle that both calls for a solution and cannot be solved, because all attempts to solve it end up reinstating the original paradox. The greatest philosophical minds, including Plato, recognized that this problem is permanent and honestly admitted as much. Plotinus let on that he knew it was an intractable problem by approaching it through “mystical faith,” specifying “the inscrutable infinite as somehow guaranteeing the supremacy of ordered reason, good, and beauty” (3:258), even if human minds remain incapable of understanding how that order is possible.</w:t>
      </w:r>
    </w:p>
    <w:p>
      <w:pPr>
        <w:spacing w:line="240" w:lineRule="auto"/>
        <w:widowControl/>
        <w:pStyle w:val="BodyText2"/>
      </w:pPr>
      <w:r>
        <w:t>Rebec’s view was that everyday life, in many ways, embodies the paradox of the one and the many, in that we tend to be divided in our basic allegiances, with one foot in the finite world of human effort and the other squarely in a realm of infinite goods. In many ways, Kant was the quintessential philosopher of modernity, because he understood that a human being is “a denizen of two Worlds.” Like Plato and Plotinus, Kant viewed the paradox of the one and the many as “irresolvable.” He therefore held, for example, that we should act as if there is an infinite Kingdom of Ends where perfect justice prevails, even though we have no way of knowing for sure whether that is true. Thus, the paradox of the one and the many enables us to understand both the trajectory of Western thought and the human condition itself, which has changed little since ancient times. “The logic of modern life,” Rebec declared, “is antinomial” (3:261).</w:t>
      </w:r>
    </w:p>
    <w:p>
      <w:pPr>
        <w:spacing w:line="240" w:lineRule="auto"/>
        <w:widowControl/>
        <w:pStyle w:val="BodyText2"/>
      </w:pPr>
      <w:r>
        <w:t>With respect to moral progress, Rebec’s address set a trap for those who take seriously the idea that philosophers should concentrate their efforts on leading us to a better world through their insights. The implicit assumption behind that idea is that philosophers are, in fact, capable of doing what it is said they should do. That is a fine assumption, as long as what they should do does not exceed human limits. However, Rebec’s suggestion that our allegiance is divided between the finite and the infinite implies that philosophers and those influenced by them should strive for infinite moral progress, whether or not it is actually achievable. If we really are finite beings, such a strategy can lead us nowhere, except to human tragedy.</w:t>
      </w:r>
    </w:p>
    <w:p>
      <w:pPr>
        <w:spacing w:line="240" w:lineRule="auto"/>
        <w:widowControl/>
        <w:pStyle w:val="BodyText2"/>
      </w:pPr>
      <w:r>
        <w:t xml:space="preserve">Having examined the address of the president whose views on philosophers as agents of moral progress were arguably the least developed, I now turn to those three addresses that exhibit the strongest views of philosophers in the role of society’s moral avant-garde. Within that group of three, my account moves from the least to the most ambitious. </w:t>
      </w:r>
    </w:p>
    <w:p>
      <w:pPr>
        <w:spacing w:line="240" w:lineRule="auto"/>
        <w:widowControl/>
        <w:pStyle w:val="BodyText2"/>
      </w:pPr>
      <w:r>
        <w:t xml:space="preserve">The title of Alexander Meiklejohn’s (1924–1925) address, “Philosophers and Others,” suggests the high esteem in which he held philosophers in relation to non-philosophers. Philosophers are to lead, while the rest of the world follows. Rather than spending their careers talking to each other within the Ivory Tower, philosophers should engage with “the outside word,” where the public longs for “learning which shall show the way of life” (3:219). While philosophers should be “disinterested” in at least two ways that Meiklejohn distinguished, they have an obligation to share their wisdom with others. “Philosophy,” Meiklejohn declared, “can save the world; without philosophy, unless philosophers can do their part, our present scheme of human living will go to smash” (3:220). </w:t>
      </w:r>
    </w:p>
    <w:p>
      <w:pPr>
        <w:spacing w:line="240" w:lineRule="auto"/>
        <w:widowControl/>
        <w:pStyle w:val="BodyText2"/>
      </w:pPr>
      <w:r>
        <w:t xml:space="preserve">Meiklejohn’s claim, “philosophers must rule” was unambiguous, but he was equally clear that, unlike Plato’s philosopher-kings, philosophers should not be given “external authority” (3:225). Their influence should be decisive but in an indirect way. “Philosophers must be rulers,” he said, “but rulers of thinking. And the control of thinking is not carried on after the same manner of the control of external affairs” (3:225). The influence of philosophers is rather to be felt through the ways in which they choose to organize intellectual activity within society. However, this does not render their influence less profound than that of Plato’s philosopher-kings. On the contrary, what scholars study is a most consequential matter for society, because human flourishing depends largely on their insights. No society can afford to have “much of its intellectual energy . . . fly off into . . . unpractical pursuits” (3:223), much less devoted to “devising machines and practices for . . . wholesale . . . destruction,” as commonly occurs during times of war or of military threats. Meiklejohn called on philosophers to take charge of all this by directing scholars to study those matters that are most likely to advance society if they are studied. “I come with a challenge to the philosophers—a demand upon them,” he said. “Will you assign to scholars their various tasks? This is your work. It is a work which no one else can do properly. It is a task upon the doing or not-doing of which depends the making or unmaking of our social order” (3:223). </w:t>
      </w:r>
    </w:p>
    <w:p>
      <w:pPr>
        <w:spacing w:line="240" w:lineRule="auto"/>
        <w:widowControl/>
        <w:pStyle w:val="BodyText2"/>
      </w:pPr>
      <w:r>
        <w:t>On top of his “challenge,” Meiklejohn offered “a program or a fragment of a program” going beyond “abstract recognition of the need of intelligent guidance of thinking” to “concrete and specific action in the face of a very urgent, very critical enterprise in which we human beings are engaged” (3:225). This program started from a set of questions around which philosophers should organize society’s intellectual activities. “In a word,” he said, “I think that your most urgent duty is to clarify and to direct other thinkers in clarifying that plan for human living which we call Democracy” (3:226). Philosophers are “called upon to become advisers to the many, the intellectual leaders of a great popular venture in the freedom of the human spirit” (3:227). While democracy “in a merely political sense” may be sufficiently simple and clear, democracy as a “scheme of life” needs both clarification and elaboration if society is to improve. The maxim, “governments derive their just powers from the consent of the governed” seemed to Meiklejohn to “get its force from a passion, a conviction, which lies far deeper than that dictum, and which would remain even if our present political machinery were swept away” (3:227). The fact that this “deeper something” forms the basis of our society and yet “is not formulated, is not understood” is a paradox that only philosophers are equipped to resolve. They must ensure, “our deepest social impulse” will not be “left blindly to turn upon itself and break itself to pieces” (3:227). They are to give it “eyes to see its goal, to measure its powers, to fix its facts, to chart its course” (3:227).</w:t>
      </w:r>
    </w:p>
    <w:p>
      <w:pPr>
        <w:spacing w:line="240" w:lineRule="auto"/>
        <w:widowControl/>
        <w:pStyle w:val="BodyText2"/>
      </w:pPr>
      <w:r>
        <w:t>Short of philosophers holding the reins of “external authority,” it is hard to imagine a more central role for them in relation to moral progress than that of devising the social and political arrangements under which all of us should live. Meiklejohn’s vision of philosophers as moral leaders and guardians of a “deeper” democracy was restrained only by his insistence that, while defending society’s most cherished values, philosophers must also be “disinterested.” They must not study for the sake of “prestige and fame and recognition” (3:221), nor bend the truth for their own advantage or that of others (3:222). How anyone engaged in such a high-stakes normative enterprise could be an impartial seeker of truth at the same time was not explained. Also of concern is Meiklejohn’s unquestioned assumption that, of all professional people, those in the best position to devise successful social and political arrangements are philosophers.</w:t>
      </w:r>
    </w:p>
    <w:p>
      <w:pPr>
        <w:spacing w:line="240" w:lineRule="auto"/>
        <w:widowControl/>
        <w:pStyle w:val="BodyText2"/>
      </w:pPr>
      <w:r>
        <w:t xml:space="preserve">Although Felix Adler (1928–1929) said considerably less than Meiklejohn regarding how philosophers might implement his vision of moral progress, in “The Ethical Problem,” he set the goal of moral progress infinitely higher. What Adler referred to as the “ethical problem” was nothing less than “reconciling the spiritual equality of man with the inequalities that exist in human society” (3:463). At the heart of this problem was a traditional understanding of “spiritual equality” as a kind of ultimate sameness. That inequalities within society range from unequal status to unequal natural endowments made “reconciling” them with spiritual equality, understood in this traditional sense, a seemingly impossible feat. In place of the old understanding of spiritual equality, Adler offered what he called the “organic ideal” (3:471), which was the notion that all individuals have an equally important role within an infinite metaphysical organism or totality that is at once dynamic and eternally at rest in its own self-fulfilling activity. “One of its immediate corollaries,” Adler explained, “is that we must . . . substitute equivalence for equality—equal value of functions, inasmuch as each function and each functionary is indispensable, instead of equality in the sense of sameness” (3:471). </w:t>
      </w:r>
    </w:p>
    <w:p>
      <w:pPr>
        <w:spacing w:line="240" w:lineRule="auto"/>
        <w:widowControl/>
        <w:pStyle w:val="BodyText2"/>
      </w:pPr>
      <w:r>
        <w:t>To Adler, the infinite totality presented:</w:t>
      </w:r>
    </w:p>
    <w:p>
      <w:pPr>
        <w:ind w:left="446" w:firstLine="0"/>
        <w:spacing w:before="100" w:beforeAutospacing="0" w:after="100" w:afterAutospacing="0" w:line="240" w:lineRule="auto"/>
        <w:widowControl/>
        <w:pStyle w:val="BodyText2"/>
      </w:pPr>
      <w:r>
        <w:t xml:space="preserve">the spectacle of a meadow on which bloom an endless variety of plants and flowers, or better, because this would be a static picture, . . . [of] a galaxy in which the distinctively colored light of each star is kindled by the diverse rays of the innumerable host of which it is one” (3:474). </w:t>
      </w:r>
    </w:p>
    <w:p>
      <w:pPr>
        <w:ind w:left="0" w:firstLine="0"/>
        <w:spacing w:line="240" w:lineRule="auto"/>
        <w:widowControl/>
        <w:pStyle w:val="BodyText2"/>
      </w:pPr>
      <w:r>
        <w:t xml:space="preserve">He longed for the day “when mankind shall be sufficiently far advanced to consider the different nations of the earth as depositories of special gifts, as functionaries,” because “then the foundation of a society of nations will be securely laid” (3:474). While Adler did refer to “the efforts of human society to organize itself after the spiritual pattern” (3:474), he also held that, from the standpoint of eternity, society already conforms to that ideal arrangement. “Thus,” he concluded, “both the successes and the failures and frustrations we meet with in the endeavor to organize the finite groups, are experiences that lead us beyond this finite human society to the seeing in mind the infinite society, the multiple godhead” (3:476). </w:t>
      </w:r>
    </w:p>
    <w:p>
      <w:pPr>
        <w:spacing w:line="240" w:lineRule="auto"/>
        <w:widowControl/>
        <w:pStyle w:val="BodyText2"/>
      </w:pPr>
      <w:r>
        <w:t>Unlike Meiklejohn, Adler did not explicitly assign the role of moral leaders to philosophers, to whom all “others” looked for guidance. However, he did expressly describe moral progress as an infinite task, implicitly creating moral obligations that no finite being can fulfill. “There is in finite man,” he said, “a certain movement toward the infinite.” To Adler, the “ideal aim” of ethics was “the perfect organization of personalities.” This is where his vision was even bolder than Meiklejohn’s. Given Adler’s assumption that an infinite totality in which every finite being has its equally valuable function already exists, perhaps we do not need to worry about dis-incentivizing moral behavior by placing infinite obligations on finite beings. However, if that assumption proves unfounded, we are left with an ethics that ensures moral failure, creating strong incentives to disregard morality altogether (3:474).</w:t>
      </w:r>
    </w:p>
    <w:p>
      <w:pPr>
        <w:spacing w:line="240" w:lineRule="auto"/>
        <w:widowControl/>
        <w:pStyle w:val="BodyText2"/>
      </w:pPr>
      <w:r>
        <w:t>No address of the 1920s expressed a more unqualified commitment to philosophers as moral leaders than Max Carl Otto’s (1929–1930) “Meditation on a Hill.” Otto viewed most philosophers as hopelessly preoccupied with purely speculative matters of little value to the man or woman in the street in search of the good life. This explained why “very intelligent people” often found philosophy “to be triviality made ponderous” (3:553). Philosophy, Otto declared, had “fail[ed] the common man” (3:554). It is all well and good for philosophers to engage in “sheer intellectual discipline” (3:555), but they must also respond to the “imperative” to lead people to better lives. People of all ages were turning to philosophy in large numbers, “in search of something they feel a deep need of” (3:556). An abundance of social crises called for the attention of philosophers:</w:t>
      </w:r>
    </w:p>
    <w:p>
      <w:pPr>
        <w:ind w:left="446" w:firstLine="0"/>
        <w:spacing w:before="100" w:beforeAutospacing="0" w:after="100" w:afterAutospacing="0" w:line="240" w:lineRule="auto"/>
        <w:widowControl/>
        <w:pStyle w:val="BodyText2"/>
      </w:pPr>
      <w:r>
        <w:t>The weakened authority of custom, the spiritual bewilderment prevailing in the general mind, the hope persisting through disillusion, and never more lively in human hearts, that life be somehow shown to have real meaning in spite of superficial appearances to the contrary—all this should prove to be exactly the soil in which philosophy takes root. (3:556)</w:t>
      </w:r>
    </w:p>
    <w:p>
      <w:pPr>
        <w:spacing w:line="240" w:lineRule="auto"/>
        <w:widowControl/>
        <w:pStyle w:val="BodyText2"/>
      </w:pPr>
      <w:r>
        <w:t xml:space="preserve">This was the vision of philosophy that seemed to have originated with James, “who inaugurated the contemporary movement which would transform philosophy from a tangential influence into a powerful social solvent” (3:556). The vision would prove widely appealing, leading to the politically engaged pragmatism of Dewey and others later in the century. It remains appealing today, as a growing number of philosophers seek to shape public opinion and even directly influence public policy. The vision’s appeal derives from a noble egalitarian sentiment that can be expressed as a narrative. At one time, philosophers were privileged experts engaged in rarified intellectual activity. They seemed to sniff at the crude practical problems faced by ordinary people. This went on until those with a conscience began exhorting the rest to put their expertise to work for the greater good of humanity. Their efforts eventually placed philosophers squarely among the people, removing them from the ranks of what might be viewed as a ruling class. From there, philosophers could lead the people to a better future “by making philosophy a </w:t>
      </w:r>
      <w:r>
        <w:rPr>
          <w:i/>
        </w:rPr>
        <w:t>sense of direction</w:t>
      </w:r>
      <w:r>
        <w:t xml:space="preserve"> in the midst of life, rather than a </w:t>
      </w:r>
      <w:r>
        <w:rPr>
          <w:i/>
        </w:rPr>
        <w:t>sense of having arrived</w:t>
      </w:r>
      <w:r>
        <w:t xml:space="preserve"> in a realm beyond life” (3:556). </w:t>
      </w:r>
    </w:p>
    <w:p>
      <w:pPr>
        <w:spacing w:line="240" w:lineRule="auto"/>
        <w:widowControl/>
        <w:pStyle w:val="BodyText2"/>
      </w:pPr>
      <w:r>
        <w:t xml:space="preserve">However appealing this vision may be, Otto believed that there is danger in assuming that non-philosophers would be lost without philosophers to guide them. No less fraught with risk is the assumption that philosophy “is not solely, nor even primarily, a set of views” (3:557). Philosophers have been a small minority in societies going all the way back to ancient Greece. This is not because all philosophers were privileged, although some were, but because most people take little or no interest in philosophy. They go about their lives blissfully unaware of the problems and perspectives that fascinate philosophers. The notion that masses of people desperately seeking better lives are waiting with bated breath for philosophers to lead them out of their misery tends to reinstate the discredited view of philosophers as members of an elite ruling class, inviting them to behave accordingly. </w:t>
      </w:r>
    </w:p>
    <w:p>
      <w:pPr>
        <w:spacing w:line="240" w:lineRule="auto"/>
        <w:widowControl/>
        <w:pStyle w:val="BodyText2"/>
      </w:pPr>
      <w:r>
        <w:t xml:space="preserve">But suppose that masses of people are, in fact, waiting to be led by philosophers. Are philosophers capable of leading them successfully? To think that they are requires a great stretch of the imagination. No matter how much philosophers want to help the masses, they trade in generalizations that, as generalizations, necessarily fail to account for the innumerable specific details that determine the predicaments of individuals. Because philosophers receive broad training as thinkers, not as empirical investigators, their products cannot be more than “a set of views.” Some non-philosophers may find those views invaluable in their quest for the good life, but philosophers must leave it to them to decide how they apply. Philosophers may address concrete matters in ways that are helpful, but they can do so only by invoking abstractions. Within the framework of philosophers as moral leaders, to think otherwise is to risk making policy recommendations or passing legislation formed without reference to countless relevant details. </w:t>
      </w:r>
    </w:p>
    <w:p>
      <w:pPr>
        <w:spacing w:line="240" w:lineRule="auto"/>
        <w:widowControl/>
        <w:pStyle w:val="BodyText2"/>
      </w:pPr>
      <w:r>
        <w:t>The philosophical trends set in motion during the 1920s continue to this day. While absolute idealism has lost most of the popularity it enjoyed a hundred and more years ago, weaker versions of idealism abound. From theories claiming that values inhere in things, to the view that successful scientific predictions suggest a world consisting of logical or mathematical relations, the conservative tendencies that shaped philosophy during the 1920s remain alive. The notion that philosophy can progress by discovering new truths is one that many philosophers deeply engaged in current technical controversies hold dear. But the growing trend in professional philosophy is a version of the view, also growing rapidly during the 1920s, that the central mission of philosophy is to furnish practical wisdom capable of driving moral progress at the social level. An increasing number of philosophers, whether “analytic,” “continental,” or “American” in their orientation, see philosophy as a powerful weapon in the social and political struggles of the day. To them, the morally best society would be one in which, to quote Meiklejohn, “philosophers must rule” (3:223–224).</w:t>
      </w:r>
    </w:p>
    <w:p>
      <w:pPr>
        <w:spacing w:line="240" w:lineRule="auto"/>
        <w:widowControl/>
        <w:pStyle w:val="BodyText2"/>
      </w:pPr>
      <w:r>
        <w:t xml:space="preserve">I have already suggested why, given the high level of generality at which philosophical discourse necessarily proceeds, this view is potentially dangerous. However, why there is a natural bias that tends to lead philosophers to this view still needs to be explained if that bias is ever to be exposed and corrected. When professionals of all kinds achieve mastery of their medium, their work becomes second nature, to the point where they are likely to forget that any medium exists between their input and the results of their efforts. This phenomenon is visible in medicine, when physicians, often with the best of intentions, are too quick to dismiss the stated preferences of their patients for courses of action that conflict with their professional judgment. They have seen so many similar cases that they almost forget that a unique individual exists between their actions and the consequences that flow from them. Something like this happens to philosophers, with the difference being that their medium is not human beings but concepts and words. </w:t>
      </w:r>
    </w:p>
    <w:p>
      <w:pPr>
        <w:spacing w:line="240" w:lineRule="auto"/>
        <w:widowControl/>
        <w:pStyle w:val="BodyText2"/>
      </w:pPr>
      <w:r>
        <w:t xml:space="preserve">Philosophers are verbal virtuosos, capable of drawing the finest of distinctions and clarifying subtlest shades of meaning. Yet the fact that they have mastered their medium means they are less likely to notice that it exists. The result is that all philosophy has an idealistic bias. Philosophers who once intended to describe the world end up by describing only ideas. Having mastered their medium, they lose awareness of the fact that their work is mediated. </w:t>
      </w:r>
    </w:p>
    <w:p>
      <w:pPr>
        <w:spacing w:line="240" w:lineRule="auto"/>
        <w:widowControl/>
        <w:pStyle w:val="BodyText2"/>
      </w:pPr>
      <w:r>
        <w:t xml:space="preserve">This idealistic bias is the common thread uniting the three philosophical trends herein distinguished. The idealism of the 1920s and before was largely a verbal edifice that substituted concepts for existing realities. Philosophical progress, while it did posit an independent reality with features upon which philosophers could potentially agree, depended on a form of direct realism that failed to distinguish immediacies—i.e., ideal objects—from the ontological realities they presumably signify. More troubling, because of its far-reaching practical ambitions, the movement that seeks to establish philosophy as an engine of social reform often fails to observe the gap between ideas and the existing world they describe. While ideas may be qualitatively complex, the world of facts is quantitatively much vaster than the most sophisticated system of ideas is complex. If philosophers forget, as they are likely to, that their always conceptual products describe something essentially non-conceptual, the result will be ideas that look and sound good but which may lead, if implemented, to unforeseen negative consequences, whether as legislation, as regulations, or as broad public policy. </w:t>
      </w:r>
    </w:p>
    <w:p>
      <w:pPr>
        <w:ind w:left="0" w:firstLine="0"/>
        <w:spacing w:before="60" w:beforeAutospacing="0" w:line="240" w:lineRule="auto"/>
        <w:jc w:val="left"/>
        <w:pStyle w:val="BodyText2"/>
      </w:pPr>
      <w:r>
        <w:t>I do not mean to suggest that philosophy is not in a position to contribute to moral progress. On the contrary, extended reflection on human values that proceeds by drawing precise distinctions can shed much-needed light on moral problems that would otherwise fester in the dark. However, rather than seek to reform society, philosophy should aim to enable individuals to think clearly for themselves. Some students of philosophy will go on to influential positions where, hopefully, they will look for unbiased empirical confirmation of their ideas. Those that go elsewhere will at least have the wherewithal to persuade others that possibly there are better ways of doing things. Finally, all who come in contact with philosophy will be in a position to enjoy richer, more meaningful lives, itself a form of moral progress. The APA presidents of the 1920s who called for philosophy to renew its ancient commitment to practical wisdom were fundamentally right in thinking that philosophy can leave us better off than we were before. If there is one enduring legacy of the 1920s, I hope this is it.</w:t>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pStyle w:val="Heading1"/>
      </w:pPr>
      <w:r/>
      <w:bookmarkStart w:id="100" w:name="PHILOSOPHY_IN_THE_AGE_OF_FASCISM"/>
      <w:r>
        <w:t>PHILOSOPHY IN THE AGE OF FASCISM</w:t>
      </w:r>
      <w:bookmarkEnd w:id="100"/>
      <w:r>
        <w:t xml:space="preserve"> REFLECTIONS ON THE PRESIDENTIAL ADDRESSES OF THE APA, 1931–1940</w:t>
      </w:r>
    </w:p>
    <w:p>
      <w:pPr>
        <w:spacing w:after="160" w:afterAutospacing="0" w:line="240" w:lineRule="auto"/>
        <w:jc w:val="center"/>
        <w:pStyle w:val="BodyText"/>
      </w:pPr>
      <w:r>
        <w:t>Brian G. Henning</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 xml:space="preserve">The opportunity to read and reflect on </w:t>
      </w:r>
      <w:r>
        <w:rPr>
          <w:i/>
        </w:rPr>
        <w:t>Presidential Addresses of the American Philosophical Association</w:t>
      </w:r>
      <w:r>
        <w:t xml:space="preserve"> </w:t>
      </w:r>
      <w:r>
        <w:rPr>
          <w:i/>
        </w:rPr>
        <w:t>1931–1940</w:t>
      </w:r>
      <w:r>
        <w:t>, the fourth volume of the Centennial Series, has been in equal measures rewarding, humbling, and taxing. Having recently completed my own edited volume of presidential addresses of another philosophical society, I have been thoroughly disabused of the notion that there is any particular form or content that defines a philosophical presidential address.</w:t>
      </w:r>
      <w:r>
        <w:rPr>
          <w:rStyle w:val="EndnoteReference"/>
        </w:rPr>
        <w:endnoteReference w:id="68"/>
      </w:r>
      <w:r>
        <w:t xml:space="preserve"> </w:t>
      </w:r>
    </w:p>
    <w:p>
      <w:pPr>
        <w:spacing w:line="240" w:lineRule="auto"/>
        <w:widowControl/>
        <w:pStyle w:val="BodyText2"/>
      </w:pPr>
      <w:r>
        <w:t xml:space="preserve">As Edward Gleason Spaulding (1932–1933) aptly described the matter in his address entitled, “Freedom, Necessity, and Mind”: </w:t>
      </w:r>
    </w:p>
    <w:p>
      <w:pPr>
        <w:ind w:left="446"/>
        <w:spacing w:before="100" w:beforeAutospacing="0" w:after="100" w:afterAutospacing="0" w:line="240" w:lineRule="auto"/>
        <w:widowControl/>
        <w:pStyle w:val="blockquote"/>
        <w:tabs>
          <w:tab w:val="clear" w:pos="215"/>
        </w:tabs>
      </w:pPr>
      <w:r>
        <w:t xml:space="preserve">they do not conform to any type or norm; some are general, others are specific; some are confessions of faith, others, of doubt; some ask, What is philosophy about?, others, What about philosophy? Their titles and subject-matter are various, their conclusions manifold. Evidently a presidential address before this Association may be about almost anything, provided it is philosophical, whatever one may mean by this term (and it means different things to different philosophers), so that really there is a large range of possibilities before a president who is in search of a topic, for topics are not in search of presidents. (4:159) </w:t>
      </w:r>
    </w:p>
    <w:p>
      <w:pPr>
        <w:spacing w:line="240" w:lineRule="auto"/>
        <w:widowControl/>
        <w:pStyle w:val="BodyText"/>
      </w:pPr>
      <w:r>
        <w:t xml:space="preserve">Perhaps it should not be surprising that the topics of the addresses are as varied as the field that they represent. The addresses of the 1930s ranged from aesthetics, science, ethics, and political theory to epistemology, metaphysics, and religion. Nevertheless, I have endeavored to impose some order on the collection, grouping them into six rough divisions, primarily by their similarity of subject matter or methodology. </w:t>
      </w:r>
    </w:p>
    <w:p>
      <w:pPr>
        <w:spacing w:line="240" w:lineRule="auto"/>
        <w:widowControl/>
        <w:pStyle w:val="BodyText2"/>
      </w:pPr>
      <w:r>
        <w:t xml:space="preserve">The first group focused on the ongoing debate between idealism and realism, with more representation from the latter than the former. The second group includes eight addresses that are similar in addressing, to some degree, classical figures and ideas in the pragmatist tradition. The third section comprises two essays on personalism. The fourth section considers the addresses of Clarence Irving Lewis (1933–1934; 1954–1955) and Alfred North Whitehead (1931–1932). Although one could justify locating them in either the first or second sections, given that the work of Lewis and Whitehead have had the most enduring and significant impact on subsequent thought, it seems appropriate to consider them separately. The fifth section examines six addresses that are similar in that they are all concerned with examining the scope, purpose, and value of philosophy itself. The sixth and final group of addresses is defined not by their philosophical commitments, but their discussion of the growing threat of totalitarian Fascism in Europe and the Pacific. Historically, I found those in this group to be most interesting in that they provide a window into the depth of the existential and philosophical threat posed by fascist ideology of the 1930s. </w:t>
      </w:r>
    </w:p>
    <w:p>
      <w:pPr>
        <w:spacing w:line="240" w:lineRule="auto"/>
        <w:widowControl/>
        <w:pStyle w:val="BodyText2"/>
      </w:pPr>
      <w:r>
        <w:t xml:space="preserve">Before turning to the first group, I would like briefly to consider four addresses that do not neatly fit within the other divisions. The first is by Matthew Thompson McClure Jr. (1932–1933), who delivered “The Greek Conception of Nature.” In many ways, this address might be seen as a doggedly scholastic attempt to defend an Aristotelian conception of nature in the face of an ever-more-reductionist scientific materialism. The characterization is not wholly inapt. Yet, in arguing against modern dualism and for a recognition of the teleological character of life, McClure was, in a sense, making claims quite similar to those defended by Charles Sanders Peirce, William James (1906–1907), John Dewey (1905–1906), Henri Bergson, and Whitehead. </w:t>
      </w:r>
    </w:p>
    <w:p>
      <w:pPr>
        <w:spacing w:line="240" w:lineRule="auto"/>
        <w:widowControl/>
        <w:pStyle w:val="BodyText2"/>
      </w:pPr>
      <w:r>
        <w:t>Charles Bruce Vibbert (1934–1935) was elected, but, due to illness, was unable to serve. In the absence of a presidential address, his essay “The Perception of Movement in the Philosophies of Descartes and Bergson,” included in Volume 4, focused on two points: “(1) How we know motion; and (2) What the movement so known is” (4:315–316).</w:t>
      </w:r>
    </w:p>
    <w:p>
      <w:pPr>
        <w:spacing w:line="240" w:lineRule="auto"/>
        <w:widowControl/>
        <w:pStyle w:val="BodyText2"/>
      </w:pPr>
      <w:r>
        <w:t>George Holland Sabine’s (1938–1939) “Logic and Social Studies,” is unlike many in its cohort in that Sabine’s expertise and interests were in the area of political theory. While certainly an important and long-standing area of study for philosophers, the investigation appears more peripheral, especially given the world events of the late 1930s. Jay William Hudson’s (1938–1939) address, “Recent Shifts in Ethical Theory and Practice,” was also unusual in that it considered ethical theory and practice as revealed through ethics textbooks.</w:t>
      </w:r>
    </w:p>
    <w:p>
      <w:pPr>
        <w:ind w:left="0"/>
        <w:spacing w:before="100" w:beforeAutospacing="0" w:after="100" w:afterAutospacing="0" w:line="240" w:lineRule="auto"/>
        <w:jc w:val="center"/>
        <w:widowControl/>
        <w:pStyle w:val="ListParagraph"/>
        <w:rPr>
          <w:rFonts w:ascii="Times New Roman" w:hAnsi="Times New Roman" w:eastAsia="Times New Roman"/>
          <w:sz w:val="20"/>
          <w:b/>
          <w:color w:val="auto"/>
        </w:rPr>
      </w:pPr>
      <w:r>
        <w:rPr>
          <w:rFonts w:ascii="Times New Roman" w:hAnsi="Times New Roman" w:eastAsia="Times New Roman"/>
          <w:sz w:val="20"/>
          <w:b/>
          <w:color w:val="auto"/>
        </w:rPr>
        <w:t>2. Debates in Epistemology—Idealism and Realism</w:t>
      </w:r>
    </w:p>
    <w:p>
      <w:pPr>
        <w:spacing w:line="240" w:lineRule="auto"/>
        <w:widowControl/>
        <w:pStyle w:val="BodyText"/>
      </w:pPr>
      <w:r>
        <w:t>I will consider Gustavus Watts Cunningham’s (1930–1931; 1937–1938) two addresses together. His “On the Second Copernican Revolution in Philosophy,” is relatively unusual in that it is largely a response to “Meditation on a Hill,” the address delivered by his predecessor, Max Carl Otto (1929–1930). Otto had apparently alluded to James and Dewey in defense of the view that traditional philosophers have not been sufficiently concerned with issues concerning “a philosophy of life” (4:22) and against the “spectator theory” of knowledge (4:24). Cunningham found little in Otto’s address to justify this accusation (4:35). On the contrary, he contended that pragmatists should not reduce philosophy to “a philosophy of life” and that “the philosopher cannot in the end escape ontological issues” (4:35–36).</w:t>
      </w:r>
    </w:p>
    <w:p>
      <w:pPr>
        <w:spacing w:line="240" w:lineRule="auto"/>
        <w:widowControl/>
        <w:pStyle w:val="BodyText2"/>
      </w:pPr>
      <w:r>
        <w:t>In Cunningham’s “Meaning, Reference, and Significance,” he claimed that at least four types of “meaning-situations” can be identified: “the conventional, the linguistic, the postulational, and the existential” (4:480). He asserted, “all of our reasoning, so far at least as it proceeds through the medium of referential meaning-situations, aims at the clarification of points of view centering around what occasionally is in reference” (4:481–482).</w:t>
      </w:r>
    </w:p>
    <w:p>
      <w:pPr>
        <w:spacing w:line="240" w:lineRule="auto"/>
        <w:widowControl/>
        <w:pStyle w:val="BodyText2"/>
      </w:pPr>
      <w:r>
        <w:t xml:space="preserve">Spaulding began “Freedom, Necessity, and Mind” with a defense of his decision not to examine “what the rôle of philosophy should be in the present economic, social, and political crisis, or any other immediately practical question” (4:159). After all, he delivered his address at a time when nearly one in four American workers was unemployed. Though he granted that philosophy should and does speak to “practical aspects of life,” he argued that the philosopher has “a still more important function than this, and that is to be thoroughly impractical” (4:159). I take Spaulding’s point to be that philosophers should resist the urge to reduce philosophy’s worth to its practical important. I will return to this question in the section that addresses the scope, purpose, and value of philosophy itself. </w:t>
      </w:r>
    </w:p>
    <w:p>
      <w:pPr>
        <w:spacing w:line="240" w:lineRule="auto"/>
        <w:widowControl/>
        <w:pStyle w:val="BodyText2"/>
      </w:pPr>
      <w:r>
        <w:t xml:space="preserve">Spaulding was a member of the New Realists, who were opposed the monism of the absolute idealists and the relativism of the pragmatists (4:157). Central to their position was the rejection of John Locke’s secondary qualities, returning to something closer to classical Aristotelian realism, in which qualities are not contributed by consciousness but are “out there” in the world. </w:t>
      </w:r>
    </w:p>
    <w:p>
      <w:pPr>
        <w:spacing w:line="240" w:lineRule="auto"/>
        <w:widowControl/>
        <w:pStyle w:val="BodyText2"/>
      </w:pPr>
      <w:r>
        <w:t>Spaulding’s “Freedom, Necessity, and Mind,” represented the New Realists’ interest in epistemology and its intersection with developments in science, in this case, Werner Karl Heisenberg’s Principle of Indeterminacy,</w:t>
      </w:r>
      <w:r>
        <w:rPr>
          <w:rStyle w:val="EndnoteReference"/>
        </w:rPr>
        <w:endnoteReference w:id="69"/>
      </w:r>
      <w:r>
        <w:t xml:space="preserve"> which had been formulated less than a decade earlier and which was a subject of much interest. Although Spaulding noted that his comments went far beyond the principle of indeterminacy, it does provide an interesting context for an otherwise classical philosophical topic. His main thesis went beyond Heisenberg to argue:</w:t>
      </w:r>
    </w:p>
    <w:p>
      <w:pPr>
        <w:ind w:left="446"/>
        <w:spacing w:before="100" w:beforeAutospacing="0" w:after="100" w:afterAutospacing="0" w:line="240" w:lineRule="auto"/>
        <w:widowControl/>
        <w:pStyle w:val="blockquote"/>
        <w:tabs>
          <w:tab w:val="clear" w:pos="215"/>
        </w:tabs>
      </w:pPr>
      <w:r>
        <w:t xml:space="preserve">Mind is correlative with the fact in the universe of what I call Disclosure; that, further, whether there is consciousness or not, </w:t>
      </w:r>
      <w:r>
        <w:rPr>
          <w:i/>
        </w:rPr>
        <w:t xml:space="preserve">there is </w:t>
      </w:r>
      <w:r>
        <w:t xml:space="preserve">Disclosure, i.e., that Disclosure is logically prior to consciousness, the assumption of consciousness being but one possible hypothesis to explain Disclosure; and, finally, that, from the evolutionary point of view, Disclosure has emerged as a function of Freedom, but that, in relation to what precedes it, it is </w:t>
      </w:r>
      <w:r>
        <w:rPr>
          <w:i/>
        </w:rPr>
        <w:t>contingent</w:t>
      </w:r>
      <w:r>
        <w:t>. (4:187)</w:t>
      </w:r>
    </w:p>
    <w:p>
      <w:pPr>
        <w:spacing w:line="240" w:lineRule="auto"/>
        <w:widowControl/>
        <w:pStyle w:val="BodyText"/>
      </w:pPr>
      <w:r>
        <w:t xml:space="preserve">The full meaning of this position is only partially revealed; that is, Spaulding arrived at this conclusion, but had insufficient space to fully defend it. However, in fairness, in a presidential address to one’s peers, perhaps being provocative and interesting is more asset than liability. </w:t>
      </w:r>
    </w:p>
    <w:p>
      <w:pPr>
        <w:spacing w:line="240" w:lineRule="auto"/>
        <w:widowControl/>
        <w:pStyle w:val="BodyText2"/>
      </w:pPr>
      <w:r>
        <w:t xml:space="preserve">John Elof Boodin (1912–1913; 1933–1934) “sought to preserve the tradition of philosophical idealism from Plato to [Josiah] Royce [(1903–1904)] within the contemporary framework of science” (2:97). However, even an idealist such as Boodin felt compelled to label his address “Functional Realism,” which, he says, traces its lineage “back to Protagoras” (4:235). </w:t>
      </w:r>
    </w:p>
    <w:p>
      <w:pPr>
        <w:spacing w:line="240" w:lineRule="auto"/>
        <w:widowControl/>
        <w:pStyle w:val="BodyText2"/>
      </w:pPr>
      <w:r>
        <w:t>Naïve or direct realism, according to Boodin, holds that the qualities and relations that we sense exist in objective nature just as we perceive them, while critical realism holds that the qualities and relations that we sense are mostly due to the percipient and therefore do not exist objectively in nature. He defended a functional realism, wherein “the qualities and relations which we perceive are functions of objective nature and the percipient organism in perspective relation to one another” (4:235). Functional realism is Boodin’s attempt to conceive of the knower’s relationship to its world given that science has revealed that human knowers are emergent from a cosmic process, not separate from it. Thus, he explained:</w:t>
      </w:r>
    </w:p>
    <w:p>
      <w:pPr>
        <w:ind w:left="446"/>
        <w:spacing w:before="100" w:beforeAutospacing="0" w:after="100" w:afterAutospacing="0" w:line="240" w:lineRule="auto"/>
        <w:widowControl/>
        <w:pStyle w:val="blockquote"/>
        <w:tabs>
          <w:tab w:val="clear" w:pos="215"/>
        </w:tabs>
      </w:pPr>
      <w:r>
        <w:t xml:space="preserve">functional realism holds in common with present science that the bifurcation of thing and environment is vicious, that things exist only in fields, in mutuality with other things, and that they have properties only in their dynamic interrelations. (4:236) </w:t>
      </w:r>
    </w:p>
    <w:p>
      <w:pPr>
        <w:spacing w:line="240" w:lineRule="auto"/>
        <w:widowControl/>
        <w:pStyle w:val="BodyText"/>
      </w:pPr>
      <w:r>
        <w:t>The knower is always already embedded and entangled within the field of nature that is the object of investigation.</w:t>
      </w:r>
    </w:p>
    <w:p>
      <w:pPr>
        <w:ind w:left="0" w:firstLine="0"/>
        <w:spacing w:before="100" w:beforeAutospacing="0" w:after="100" w:afterAutospacing="0" w:line="240" w:lineRule="auto"/>
        <w:jc w:val="center"/>
        <w:widowControl/>
        <w:pStyle w:val="BodyText2"/>
        <w:rPr>
          <w:b/>
        </w:rPr>
      </w:pPr>
      <w:r>
        <w:rPr>
          <w:b/>
        </w:rPr>
        <w:t>3. Pragmatism in the 1930s</w:t>
      </w:r>
    </w:p>
    <w:p>
      <w:pPr>
        <w:spacing w:line="240" w:lineRule="auto"/>
        <w:widowControl/>
        <w:pStyle w:val="BodyText"/>
      </w:pPr>
      <w:r>
        <w:t xml:space="preserve">As a group, the single largest philosophical trend within addresses of the 1930s was the pragmatism of Peirce, James, Royce, and Dewey. Although all of the addresses focused interest on their own projects, the underlying vestiges of these pragmatist giants are clear in nearly a third of the presidential addresses delivered during the 1930s. </w:t>
      </w:r>
    </w:p>
    <w:p>
      <w:pPr>
        <w:spacing w:line="240" w:lineRule="auto"/>
        <w:widowControl/>
        <w:pStyle w:val="BodyText2"/>
      </w:pPr>
      <w:r>
        <w:t>“On a Possible Science of Religion,” the address given by Edgar Arthur Singer Jr. (1930–1931), is heavily indebted to James in its approach to religion, though it ultimately plots its own course:</w:t>
      </w:r>
    </w:p>
    <w:p>
      <w:pPr>
        <w:ind w:left="446"/>
        <w:spacing w:before="100" w:beforeAutospacing="0" w:after="100" w:afterAutospacing="0" w:line="240" w:lineRule="auto"/>
        <w:widowControl/>
        <w:pStyle w:val="blockquote"/>
        <w:tabs>
          <w:tab w:val="clear" w:pos="215"/>
        </w:tabs>
      </w:pPr>
      <w:r>
        <w:t>To many a thoughtful man of this day, the only science worthy to be called a science of religion is one better called a psychology of religious expression. To some of us, however, the possibility remains open that our fathers undertook no meaningless task in attempting to establish by science the truth of certain religious propositions: the proposition “God is,” together with its practical implications. (4:3)</w:t>
      </w:r>
    </w:p>
    <w:p>
      <w:pPr>
        <w:spacing w:line="240" w:lineRule="auto"/>
        <w:widowControl/>
        <w:pStyle w:val="BodyText"/>
      </w:pPr>
      <w:r>
        <w:t xml:space="preserve">Although on its face, this passage seems to embrace the mantle of the medieval scholastic, that impression was quickly dispelled when Singer went on to explain his understanding, “a man’s </w:t>
      </w:r>
      <w:r>
        <w:rPr>
          <w:i/>
        </w:rPr>
        <w:t>God</w:t>
      </w:r>
      <w:r>
        <w:t xml:space="preserve"> is whatever end that man has accepted as the supreme end of his living” (4:3). If I understand Singer correctly, it would seem that his conception of religion is better understood as a teleological ethics. Though rather opaquely, Singer ultimately comes to the conclusion, “God, an </w:t>
      </w:r>
      <w:r>
        <w:rPr>
          <w:i/>
        </w:rPr>
        <w:t>Idee</w:t>
      </w:r>
      <w:r>
        <w:t xml:space="preserve">, ought to be pursued as life’s supreme and ultimate end” (4:12). </w:t>
      </w:r>
    </w:p>
    <w:p>
      <w:pPr>
        <w:spacing w:line="240" w:lineRule="auto"/>
        <w:widowControl/>
        <w:pStyle w:val="BodyText2"/>
      </w:pPr>
      <w:r>
        <w:t>Although Jacob Loewenberg (1930–1931) read unpublished manuscripts of Hegel while he was in Berlin under the influence of Royce, he came to see Hegel’s excesses and to develop what he called “problematic realism.”</w:t>
      </w:r>
      <w:r>
        <w:rPr>
          <w:rStyle w:val="EndnoteReference"/>
        </w:rPr>
        <w:endnoteReference w:id="70"/>
      </w:r>
      <w:r>
        <w:t xml:space="preserve"> However, as the title of his presidential address, “</w:t>
      </w:r>
      <w:r>
        <w:rPr>
          <w:i/>
        </w:rPr>
        <w:t>De Angelis</w:t>
      </w:r>
      <w:r>
        <w:t>,” indicates, the topic of his address was quite different. Availing himself of the “complete liberty” in the choice of topics given to presidents, Loewenberg scrutinized what he called the “angelic method” in philosophy, which is but another name for what Dewey called the “spectator theory of knowledge” (4:51):</w:t>
      </w:r>
    </w:p>
    <w:p>
      <w:pPr>
        <w:ind w:left="446"/>
        <w:spacing w:before="100" w:beforeAutospacing="0" w:after="100" w:afterAutospacing="0" w:line="240" w:lineRule="auto"/>
        <w:widowControl/>
        <w:pStyle w:val="blockquote"/>
        <w:tabs>
          <w:tab w:val="clear" w:pos="215"/>
        </w:tabs>
      </w:pPr>
      <w:r>
        <w:t xml:space="preserve">The phrase expresses with perfect precision the mission of traditional metaphysics. That mission consists in overcoming and supplanting the merely human view of things. . . . And in so far as they succeed in transcending the human perspective and contemplate reality from the point of view of a supposed superior being in full possession of truth, philosophers not only anticipate but actually embody the angelic nature. They have, in fact, become as angels. (4:52) </w:t>
      </w:r>
    </w:p>
    <w:p>
      <w:pPr>
        <w:spacing w:line="240" w:lineRule="auto"/>
        <w:widowControl/>
        <w:pStyle w:val="BodyText"/>
      </w:pPr>
      <w:r>
        <w:t>Thus, to a large degree, Loewenberg’s address was an extended criticism of what he perceived to be the excesses of traditional metaphysicians who are like “recording angel[s], noting and describing the real as it compellingly reveals itself to his infallible vision” (4:54). In this method, he dramatically concluded, “lies the glory and the pathos of the philosophic enterprise” (4:61).</w:t>
      </w:r>
    </w:p>
    <w:p>
      <w:pPr>
        <w:spacing w:line="240" w:lineRule="auto"/>
        <w:widowControl/>
        <w:pStyle w:val="BodyText2"/>
      </w:pPr>
      <w:r>
        <w:t>Like Spaulding’s “Freedom, Necessity, and Mind,” William Briggs Savery’s (1931–1932) “Chance and Cosmogony” was partially inspired by Heisenberg’s groundbreaking work in physics. Savery’s task was to explore the philosophical significance of chance (</w:t>
      </w:r>
      <w:r>
        <w:rPr>
          <w:i/>
        </w:rPr>
        <w:t>tyche</w:t>
      </w:r>
      <w:r>
        <w:t xml:space="preserve">; from the Greek god of fortune), using the work of the philosopher who takes chance more seriously than most: Peirce. Savery defended chance, not as a </w:t>
      </w:r>
      <w:r>
        <w:rPr>
          <w:i/>
        </w:rPr>
        <w:t xml:space="preserve">vera causa </w:t>
      </w:r>
      <w:r>
        <w:t xml:space="preserve">or as an entity, but as “the absence of determination” (4:110): </w:t>
      </w:r>
    </w:p>
    <w:p>
      <w:pPr>
        <w:ind w:left="446"/>
        <w:spacing w:before="100" w:beforeAutospacing="0" w:after="100" w:afterAutospacing="0" w:line="240" w:lineRule="auto"/>
        <w:widowControl/>
        <w:pStyle w:val="blockquote"/>
        <w:tabs>
          <w:tab w:val="clear" w:pos="215"/>
        </w:tabs>
      </w:pPr>
      <w:r>
        <w:t xml:space="preserve">My theses are as follows: (1) The world is contingent, undetermined by necessity. (2) The probability is that it is undetermined by efficient causes, entirely at the beginning, and partially after the beginning. (3) The world as a whole is undetermined by final causes. In this sense, also, it is chance. (4) The method that we must use to explore the world is the method of probability, which is itself a doctrine of chances. (4:110) </w:t>
      </w:r>
    </w:p>
    <w:p>
      <w:pPr>
        <w:spacing w:line="240" w:lineRule="auto"/>
        <w:widowControl/>
        <w:pStyle w:val="BodyText"/>
      </w:pPr>
      <w:r>
        <w:t xml:space="preserve">Though science now continues to be dominated by chance more than ever, the ontological significance of this indeterminacy is still too often lost on scientists and philosophers alike. Savery was right to note, “Heisenberg’s principle of uncertainty is here the all-important piece of evidence, and at last we seem to have an empirical verification of the </w:t>
      </w:r>
      <w:r>
        <w:rPr>
          <w:i/>
        </w:rPr>
        <w:t>tychism</w:t>
      </w:r>
      <w:r>
        <w:t xml:space="preserve"> of Charles Peirce” (4:105).</w:t>
      </w:r>
    </w:p>
    <w:p>
      <w:pPr>
        <w:spacing w:line="240" w:lineRule="auto"/>
        <w:widowControl/>
        <w:pStyle w:val="BodyText2"/>
      </w:pPr>
      <w:r>
        <w:t xml:space="preserve">David Wight Prall’s (1937–1938) “Knowledge as Aptness of the Body” presents a dramatic counterpoint to the rationalist tendencies within the Western philosophical tradition. Rather than seeing reason, thought, and knowledge as the special function of a unique faculty, Prall defended the claim, “knowing is the aptness of the body to specific motions in response to particular complexes of data” (4:506). Upon reading his systematic defense of this claim, one may recall the similar position taken by Maurice Merleau-Ponty. However, it is more appropriate to regard Prall’s view as a species of behaviorism, which was ascendant during this time: </w:t>
      </w:r>
    </w:p>
    <w:p>
      <w:pPr>
        <w:ind w:left="446"/>
        <w:spacing w:before="100" w:beforeAutospacing="0" w:after="100" w:afterAutospacing="0" w:line="240" w:lineRule="auto"/>
        <w:widowControl/>
        <w:pStyle w:val="blockquote"/>
        <w:tabs>
          <w:tab w:val="clear" w:pos="215"/>
        </w:tabs>
      </w:pPr>
      <w:r>
        <w:t xml:space="preserve">“Knowledge” is the word that men invented as a label for just what </w:t>
      </w:r>
      <w:r>
        <w:rPr>
          <w:i/>
        </w:rPr>
        <w:t xml:space="preserve">is </w:t>
      </w:r>
      <w:r>
        <w:t>learned; that what is learned is aptness of the body in response and nothing else, and that this process, which is carried out largely unconsciously for the most important kinds of learning, is the inculcation of a habit without which, fully formed and completely dominating our whole behavior as organisms, we should not be alive at all. (4:507)</w:t>
      </w:r>
    </w:p>
    <w:p>
      <w:pPr>
        <w:spacing w:line="240" w:lineRule="auto"/>
        <w:widowControl/>
        <w:pStyle w:val="BodyText2"/>
      </w:pPr>
      <w:r>
        <w:t xml:space="preserve">What I find most intriguing are the concluding lines of Prall’s address, where, regarding the behaviorist position he had been defending, he said: </w:t>
      </w:r>
    </w:p>
    <w:p>
      <w:pPr>
        <w:ind w:left="446"/>
        <w:spacing w:before="100" w:beforeAutospacing="0" w:after="100" w:afterAutospacing="0" w:line="240" w:lineRule="auto"/>
        <w:widowControl/>
        <w:pStyle w:val="blockquote"/>
        <w:tabs>
          <w:tab w:val="clear" w:pos="215"/>
        </w:tabs>
      </w:pPr>
      <w:r>
        <w:t>It has been developed by some of the most brilliant and most learned of modern psychologists. And it is the natural heritage of every American student of philosophy who has not been completely immunized to the thought of Peirce and James and Dewey. (4:508)</w:t>
      </w:r>
    </w:p>
    <w:p>
      <w:pPr>
        <w:spacing w:line="240" w:lineRule="auto"/>
        <w:widowControl/>
        <w:pStyle w:val="BodyText"/>
      </w:pPr>
      <w:r>
        <w:t xml:space="preserve">Given that Peirce, James, and Dewey are not normally seen as behaviorists, the extent to which the understanding of the pragmatist tradition was still in flux during the 1930s is quite revealing. We will see this in James Bissett Pratt’s (1935–1936) address as well (discussed below). Surely this characterization might be apt to some degree, but to assert it without defense, as Prall does, implies that it was too obvious to require further explanation. It is interesting to see the extent to which the pragmatist tradition has changed over time. </w:t>
      </w:r>
    </w:p>
    <w:p>
      <w:pPr>
        <w:spacing w:line="240" w:lineRule="auto"/>
        <w:widowControl/>
        <w:pStyle w:val="BodyText2"/>
      </w:pPr>
      <w:r>
        <w:t xml:space="preserve">Harold Chapman Brown’s (1924–1925; 1932–1933) “Mind—An Event in Physical Nature,” reflects his lifelong interest in the philosophy of science. He noted that history presents two different accounts of the development of mind: those that conceive of mind as a sort of directive force or energy (what he calls the “Aristotelian-Hegelian” tradition, of which he sees Bergson and Whitehead as exemplars) and the “materialistic tradition” of Democritus, Lucretius, and Hobbes (4:135–136). </w:t>
      </w:r>
    </w:p>
    <w:p>
      <w:pPr>
        <w:spacing w:line="240" w:lineRule="auto"/>
        <w:widowControl/>
        <w:pStyle w:val="BodyText2"/>
      </w:pPr>
      <w:r>
        <w:t xml:space="preserve">Brown ultimately rejected both the panexperientialist and the physicalist traditions in the philosophy of mind. He argued that, by conceiving of all reality as process or as an energy, the panexperientialist makes of the world something of a “chesire grin”: </w:t>
      </w:r>
    </w:p>
    <w:p>
      <w:pPr>
        <w:ind w:left="446"/>
        <w:spacing w:before="100" w:beforeAutospacing="0" w:after="100" w:afterAutospacing="0" w:line="240" w:lineRule="auto"/>
        <w:widowControl/>
        <w:pStyle w:val="blockquote"/>
        <w:tabs>
          <w:tab w:val="clear" w:pos="215"/>
        </w:tabs>
      </w:pPr>
      <w:r>
        <w:t>He abstracts process from stuff as we might abstract a grin from a face. If the face vanished existentially, however, leaving only the grin, we should comment with Alice, “Well! I’ve often seen a cat without a grin, but a grin without a cat! It’s the most curious thing I ever saw in all my life!” So is a world of mere energy. (4:136)</w:t>
      </w:r>
    </w:p>
    <w:p>
      <w:pPr>
        <w:spacing w:line="240" w:lineRule="auto"/>
        <w:widowControl/>
        <w:pStyle w:val="BodyText"/>
      </w:pPr>
      <w:r>
        <w:t>He was no less critical of the materialists:</w:t>
      </w:r>
    </w:p>
    <w:p>
      <w:pPr>
        <w:ind w:left="446"/>
        <w:spacing w:before="100" w:beforeAutospacing="0" w:after="100" w:afterAutospacing="0" w:line="240" w:lineRule="auto"/>
        <w:widowControl/>
        <w:pStyle w:val="blockquote"/>
        <w:tabs>
          <w:tab w:val="clear" w:pos="215"/>
        </w:tabs>
      </w:pPr>
      <w:r>
        <w:t>on the other hand, to follow the other alternative and accept the term “mind” as denoting an hypostasis merely, is philosophically to follow the radical behaviorists and admit that “we find no mind in our laboratories.” (4:136)</w:t>
      </w:r>
    </w:p>
    <w:p>
      <w:pPr>
        <w:spacing w:line="240" w:lineRule="auto"/>
        <w:widowControl/>
        <w:pStyle w:val="BodyText"/>
      </w:pPr>
      <w:r>
        <w:t xml:space="preserve">The position he defended is that mind is: </w:t>
      </w:r>
    </w:p>
    <w:p>
      <w:pPr>
        <w:ind w:left="446"/>
        <w:spacing w:before="100" w:beforeAutospacing="0" w:after="100" w:afterAutospacing="0" w:line="240" w:lineRule="auto"/>
        <w:widowControl/>
        <w:pStyle w:val="blockquote"/>
        <w:tabs>
          <w:tab w:val="clear" w:pos="215"/>
        </w:tabs>
      </w:pPr>
      <w:r>
        <w:t>a highly organized [process] in certain physicological structures when their significance is attached to their qualitied aspect. . . . Mind is the name we give to a distinguishable set of such properties in human organisms when those processes are interpreted by the qualitied aspects of the structures involved. (4:147–148)</w:t>
      </w:r>
    </w:p>
    <w:p>
      <w:pPr>
        <w:spacing w:line="240" w:lineRule="auto"/>
        <w:widowControl/>
        <w:pStyle w:val="BodyText"/>
      </w:pPr>
      <w:r>
        <w:t xml:space="preserve">Though space constraints allow me to do no more than merely stipulate the claim here, this, it seems to me, is closer to Whitehead’s position than Brown appears to have recognized. His flippant dismissal of Whitehead seems to be infected with concerns of vitalism, which is common among those who have not sufficiently understood Whitehead’s system. However, Whitehead could have agreed with Brown’s conclusion: </w:t>
      </w:r>
    </w:p>
    <w:p>
      <w:pPr>
        <w:ind w:left="446"/>
        <w:spacing w:before="100" w:beforeAutospacing="0" w:after="100" w:afterAutospacing="0" w:line="240" w:lineRule="auto"/>
        <w:widowControl/>
        <w:pStyle w:val="blockquote"/>
        <w:tabs>
          <w:tab w:val="clear" w:pos="215"/>
        </w:tabs>
      </w:pPr>
      <w:r>
        <w:t xml:space="preserve">The thesis I wish to maintain is that the processes of human life, men’s love and hate, their aspirations and their despair, their reachings out for truth, beauty, and goodness, are all the working out of this fundamental characteristic of very complex organisms, the processes of the internal structure of which require subtle coördinations and recoördinations, if they are to maintain themselves in a varying environment. (4:149–150) </w:t>
      </w:r>
    </w:p>
    <w:p>
      <w:pPr>
        <w:spacing w:line="240" w:lineRule="auto"/>
        <w:widowControl/>
        <w:pStyle w:val="BodyText2"/>
      </w:pPr>
      <w:r>
        <w:t>Deeply influenced by James, with whom he studied at Harvard while he prepared his dissertation, Pratt was not satisfied with the status of the debates between idealists and realists. However, he was not satisfied with Spaulding and the New Realists’ attempts to resolve these conflicts either. Along with philosophers such as Durant Drake, Arthur (Schauffler) Oncken Lovejoy (1908–1909; 1916–1917), George Santayana, and Roy Wood Sellars (1923–1924), Pratt ultimately advocated for what he called “Critical Realism.”</w:t>
      </w:r>
      <w:r>
        <w:rPr>
          <w:rStyle w:val="EndnoteReference"/>
        </w:rPr>
        <w:endnoteReference w:id="71"/>
      </w:r>
    </w:p>
    <w:p>
      <w:pPr>
        <w:spacing w:line="240" w:lineRule="auto"/>
        <w:widowControl/>
        <w:pStyle w:val="BodyText2"/>
      </w:pPr>
      <w:r>
        <w:t xml:space="preserve">Pratt’s “The Present Status of the Mind-Body Problem,” is a wonderful time capsule, providing in a tidy package the state of the perennial question as to the relation of the mind and the body. His concern, as his title implies, was not to solve the mind-body problem, but to capture the state of the debate. The thrust of his thesis, insofar as there is a positive one, is that he understood, but found misguided, the rejection of interactionism in favor of naturalism (4:385). Unfortunately, his position was more assertion than argument. This address is a helpful reminder that the debates over naturalism and philosophy of mind are not new, but have been actively raging for more than three-quarters of a century. </w:t>
      </w:r>
    </w:p>
    <w:p>
      <w:pPr>
        <w:spacing w:line="240" w:lineRule="auto"/>
        <w:widowControl/>
        <w:pStyle w:val="BodyText2"/>
      </w:pPr>
      <w:r>
        <w:t xml:space="preserve">John Dashiell Stoops (1933–1934) was, at the time of his presidency, among the few remaining students of James and Royce, but Neal W. Klausner wrote that “his real intellectual companion was Dewey, to whom he dedicated his first book.” (4:260). Stoops’s affinity for Dewey can be seen in his “Society and the Subjective Mind,” in which he defended a conception of mind as a product of “emergent evolution” against the materialists and dualists of his day (4:264). Stoops rejected the reductive excesses of the mechanistic materialists who eliminate the “inner side” of organisms (4:264). Though they retain and even revere the subject, he also rejected the rationalism of the dualists who fail to account for a dynamic nature that is able to give birth to life and mind. </w:t>
      </w:r>
    </w:p>
    <w:p>
      <w:pPr>
        <w:spacing w:line="240" w:lineRule="auto"/>
        <w:widowControl/>
        <w:pStyle w:val="BodyText2"/>
      </w:pPr>
      <w:r>
        <w:t xml:space="preserve">Stoops not only discussed the emergent evolution of subjective mind, but also argued against the deeply ingrained individualism of much of the Western tradition. In keeping with Dewey’s conception of the fundamentally social nature of the individual, Stoops defended the “subjective mind,” and the “social mind,” which is “the outgrowth of a control of environment” (4:271). For him, mind is the emergent product of a social organism interacting with its environment. Thus, like Peirce, James, Whitehead, and Dewey, he rejected both the necessitarianism of the mechanist and the bifurcation of the dualist: </w:t>
      </w:r>
    </w:p>
    <w:p>
      <w:pPr>
        <w:ind w:left="446"/>
        <w:spacing w:before="100" w:beforeAutospacing="0" w:after="100" w:afterAutospacing="0" w:line="240" w:lineRule="auto"/>
        <w:widowControl/>
        <w:pStyle w:val="blockquote"/>
        <w:tabs>
          <w:tab w:val="clear" w:pos="215"/>
        </w:tabs>
      </w:pPr>
      <w:r>
        <w:t>The mind as subjective is not a reality outside of nature or independent of nature; it is that phase of nature herself in which institutions and natural events are consciously undergoing a revision, a reorganization. . . . This view of the subjective implies that mind is a phase of a larger world of society. (4:274)</w:t>
      </w:r>
    </w:p>
    <w:p>
      <w:pPr>
        <w:spacing w:line="240" w:lineRule="auto"/>
        <w:widowControl/>
        <w:pStyle w:val="BodyText2"/>
      </w:pPr>
      <w:r>
        <w:t>To many contemporary pragmatists, Charles William Morris (1936–1937) might seem to be unusual in that he sought to illustrate and defend the continuity between George Herbert Mead’s (1916–1917) work and that of the logical positivists.</w:t>
      </w:r>
      <w:r>
        <w:rPr>
          <w:rStyle w:val="EndnoteReference"/>
        </w:rPr>
        <w:endnoteReference w:id="72"/>
      </w:r>
      <w:r>
        <w:t xml:space="preserve"> His address, “Peirce, Mead, and Pragmatism,” is a solid, but unexceptional discussion of the points of connection between the work of Peirce and Mead. He began by noting that there seem to be more points of divergence than convergence between the two. One of the things I appreciate about Morris’s exposition, taken from a historical viewpoint, is that it provides a window into the excitement and energy around the work of the pragmatists in the early decades of the twentieth century. Although he did not defend the thesis, he claimed:</w:t>
      </w:r>
    </w:p>
    <w:p>
      <w:pPr>
        <w:ind w:left="446"/>
        <w:spacing w:before="100" w:beforeAutospacing="0" w:after="100" w:afterAutospacing="0" w:line="240" w:lineRule="auto"/>
        <w:widowControl/>
        <w:pStyle w:val="blockquote"/>
        <w:tabs>
          <w:tab w:val="clear" w:pos="215"/>
        </w:tabs>
      </w:pPr>
      <w:r>
        <w:t>It becomes clearer than ever before that there is a sustained unity to the pragmatic movement. Pragmatism reveals itself in all its phases as a series of constantly deepening analyses of a single set of theses. The differences between the leading representatives are primarily variations on a common theme, variations in part dictated by differences in fields of interest and application. There are genuine differences to be sure, but these too are often merely differences as to the permissible range of extension of a doctrine otherwise held in common. Pragmatism comes thus to take on an integrated character. (4:451)</w:t>
      </w:r>
    </w:p>
    <w:p>
      <w:pPr>
        <w:ind w:left="446"/>
        <w:spacing w:after="100" w:afterAutospacing="0" w:line="240" w:lineRule="auto"/>
        <w:widowControl/>
        <w:pStyle w:val="blockquote"/>
        <w:tabs>
          <w:tab w:val="clear" w:pos="215"/>
        </w:tabs>
      </w:pPr>
      <w:r>
        <w:t>One has the sense of a complex philosophic tapestry which has been woven through coöperative enterprise. The movement has in our day achieved something of an esthetic culmination, like a fine conversation which has worked itself out to its natural termination. (4:451–452)</w:t>
      </w:r>
    </w:p>
    <w:p>
      <w:pPr>
        <w:spacing w:line="240" w:lineRule="auto"/>
        <w:widowControl/>
        <w:pStyle w:val="BodyText"/>
      </w:pPr>
      <w:r>
        <w:t xml:space="preserve">It is important to note, however, that this claim comes from the perspective of someone who is similarly interested in demonstrating that logical positivism (logical empiricism) and pragmatism are “different emphases within a common movement” (4:463). In this way, Morris’s work is quite similar to Lewis’s, whose presidential address we will also consider. </w:t>
      </w:r>
    </w:p>
    <w:p>
      <w:pPr>
        <w:ind w:left="0" w:firstLine="0"/>
        <w:spacing w:before="100" w:beforeAutospacing="0" w:after="100" w:afterAutospacing="0" w:line="240" w:lineRule="auto"/>
        <w:jc w:val="center"/>
        <w:widowControl/>
        <w:pStyle w:val="BodyText2"/>
        <w:rPr>
          <w:b/>
        </w:rPr>
      </w:pPr>
      <w:r>
        <w:rPr>
          <w:b/>
        </w:rPr>
        <w:t>4. Personalism</w:t>
      </w:r>
    </w:p>
    <w:p>
      <w:pPr>
        <w:spacing w:line="240" w:lineRule="auto"/>
        <w:widowControl/>
        <w:pStyle w:val="BodyText"/>
      </w:pPr>
      <w:r>
        <w:t>Edgar Sheffield Brightman (1936–1937) is most associated with what came to be known as Boston personalism. His personalism was heavily indebted to the thought of Borden Parker Bowne, who emphasized the importance of personality and self-identity in his “personalistic idealism and theism” (4:407). Taking Bowne’s work as his starting point, Brightman developed an unorthodox view of God as a self-limited being:</w:t>
      </w:r>
    </w:p>
    <w:p>
      <w:pPr>
        <w:ind w:left="446"/>
        <w:spacing w:before="100" w:beforeAutospacing="0" w:after="100" w:afterAutospacing="0" w:line="240" w:lineRule="auto"/>
        <w:widowControl/>
        <w:pStyle w:val="blockquote"/>
        <w:tabs>
          <w:tab w:val="clear" w:pos="215"/>
        </w:tabs>
      </w:pPr>
      <w:r>
        <w:t>For Brightman the person was an irreducible, complex unity of active consciousness, self-identifying rather than unchangingly identical. The Cosmic Person, then, if he is indeed immanent in a changing world, cannot be unchanging. . . . Brightman concluded that God cannot be considered both omnipotent and omnibenevolent in light of the suffering evident in the evolution of both species and person. (Bertocci, cited 4:407)</w:t>
      </w:r>
    </w:p>
    <w:p>
      <w:pPr>
        <w:spacing w:line="240" w:lineRule="auto"/>
        <w:widowControl/>
        <w:pStyle w:val="BodyText"/>
      </w:pPr>
      <w:r>
        <w:t>Some of this finitistic theism can be seen in Brightman’s address, “An Empirical Approach to God.” He began by defending the appropriateness of the topic of his address, noting, “many academic Americans seemed to Norman Kemp Smith to view it as ‘no longer worthy even of debate.’” (4:411). If this were true in 1936, it is likely even more true today.</w:t>
      </w:r>
      <w:r>
        <w:rPr>
          <w:rStyle w:val="EndnoteReference"/>
        </w:rPr>
        <w:endnoteReference w:id="73"/>
      </w:r>
      <w:r>
        <w:t xml:space="preserve"> </w:t>
      </w:r>
    </w:p>
    <w:p>
      <w:pPr>
        <w:spacing w:line="240" w:lineRule="auto"/>
        <w:widowControl/>
        <w:pStyle w:val="BodyText2"/>
      </w:pPr>
      <w:r>
        <w:t xml:space="preserve">The question that Brightman’s address sought to answer is ancient in its pedigree, but unorthodox in its solution: “Is verification of the idea of God possible?” (4:412). Similar to Aristotle’s claim in the opening book of </w:t>
      </w:r>
      <w:r>
        <w:rPr>
          <w:i/>
        </w:rPr>
        <w:t>Nicomachean Ethics</w:t>
      </w:r>
      <w:r>
        <w:t>, that one can only expect the level of precision appropriate to the subject matter under study, Brightman argued that verification is relative to the object of study:</w:t>
      </w:r>
    </w:p>
    <w:p>
      <w:pPr>
        <w:ind w:left="446"/>
        <w:spacing w:before="100" w:beforeAutospacing="0" w:after="100" w:afterAutospacing="0" w:line="240" w:lineRule="auto"/>
        <w:widowControl/>
        <w:pStyle w:val="blockquote"/>
        <w:tabs>
          <w:tab w:val="clear" w:pos="215"/>
        </w:tabs>
      </w:pPr>
      <w:r>
        <w:t>Confusion between the kind of verification possible in physiology and that possible in psychology gave rise to extreme behaviorism. It is reasonable to infer that the verification of a metaphysical proposition would in some respects differ from verification in any one of the special sciences. To derive a concept of verification from one field and to clamp it down on all fields is, even when baptized by the sacred name of scientific method, not method, but methodological dogmatism, or methodological chaos. After all, the nature and limits of verification are determined by the nature and limits of the field of investigation. (4:413)</w:t>
      </w:r>
    </w:p>
    <w:p>
      <w:pPr>
        <w:spacing w:line="240" w:lineRule="auto"/>
        <w:widowControl/>
        <w:pStyle w:val="BodyText2"/>
      </w:pPr>
      <w:r>
        <w:t xml:space="preserve">Given this account of the type of verification that is relevant to his metaphysical question, Brightman moved on to consider what we mean by the idea of God. Whereas classical theology asserts or assumes that the conception of the divine must necessarily imply traits such as omnipotence and omniscience, Brightman believed that the idea of God was “undergoing evolution” (4:415). Nevertheless, he found sufficient agreement to form something of a tentative account of what the idea of God might entail: </w:t>
      </w:r>
    </w:p>
    <w:p>
      <w:pPr>
        <w:ind w:left="446"/>
        <w:spacing w:before="100" w:beforeAutospacing="0" w:after="100" w:afterAutospacing="0" w:line="240" w:lineRule="auto"/>
        <w:widowControl/>
        <w:pStyle w:val="blockquote"/>
        <w:tabs>
          <w:tab w:val="clear" w:pos="215"/>
        </w:tabs>
      </w:pPr>
      <w:r>
        <w:t xml:space="preserve">(1) the belief that there is a unified, objective </w:t>
      </w:r>
      <w:r>
        <w:rPr>
          <w:i/>
        </w:rPr>
        <w:t xml:space="preserve">summum bonum </w:t>
      </w:r>
      <w:r>
        <w:t>[highest good]</w:t>
      </w:r>
      <w:r>
        <w:rPr>
          <w:i/>
        </w:rPr>
        <w:t xml:space="preserve"> </w:t>
      </w:r>
      <w:r>
        <w:t xml:space="preserve">or supreme value, either as an actual realized being or as a cosmic goal for future realization; (2) the belief that this </w:t>
      </w:r>
      <w:r>
        <w:rPr>
          <w:i/>
        </w:rPr>
        <w:t xml:space="preserve">summum bonum </w:t>
      </w:r>
      <w:r>
        <w:t>is not only final, but efficient, so that in some sense it controls or dominates cosmic process; (3) the belief that the final and efficient aspects are best conceived together by thinking God as a cosmic mind, a rational, purposive experient. Accordingly, God is a supreme cosmic experient, controlling cosmic process, for an end of the highest possible value. (4:415)</w:t>
      </w:r>
    </w:p>
    <w:p>
      <w:pPr>
        <w:spacing w:line="240" w:lineRule="auto"/>
        <w:widowControl/>
        <w:pStyle w:val="BodyText"/>
      </w:pPr>
      <w:r>
        <w:t xml:space="preserve">Given this basic idea of God, Brightman asked whether any reason exists to suppose that such a being is real. He rejected the ontological arguments of Anselm and Descartes, contending that they are all too infected by the classical notion of God as omnipotent. In place of these metaphysical arguments for the existence of the divine, Brightman proposed “a genuinely empirical approach.” It is empirical not, of course, in the reductive sense of Hume or his materialist heirs, but a radical empiricism in the tradition of James (4:416–417). </w:t>
      </w:r>
    </w:p>
    <w:p>
      <w:pPr>
        <w:spacing w:line="240" w:lineRule="auto"/>
        <w:widowControl/>
        <w:pStyle w:val="BodyText2"/>
      </w:pPr>
      <w:r>
        <w:t xml:space="preserve">Given this empirical approach to the idea of God, Brightman concluded, “empirical thinkers may well find a finite God to be the most comprehensive hypothesis for the interpretation of all the facts” (4:426). This unique form of personalist Christian theology never became dominant, but it did make another appearance two years later in Ralph Tyler Flewelling’s (1938–1939) address, “Three Windows into Reality.” </w:t>
      </w:r>
    </w:p>
    <w:p>
      <w:pPr>
        <w:spacing w:line="240" w:lineRule="auto"/>
        <w:widowControl/>
        <w:pStyle w:val="BodyText2"/>
      </w:pPr>
      <w:r>
        <w:t xml:space="preserve">Flewelling represented a diminishing philosophical trend in the 1930s, which opposed the growing dominance of positivism and which would become analytic philosophy. Against it, he defended a broadly humanistic, theistic personalism, consistent with his serving for nearly forty years (1920–1959) as the founding editor of the journal </w:t>
      </w:r>
      <w:r>
        <w:rPr>
          <w:i/>
        </w:rPr>
        <w:t>The Personalist</w:t>
      </w:r>
      <w:r>
        <w:t xml:space="preserve"> (4:564). </w:t>
      </w:r>
    </w:p>
    <w:p>
      <w:pPr>
        <w:ind w:left="0" w:firstLine="0"/>
        <w:spacing w:before="100" w:beforeAutospacing="0" w:after="100" w:afterAutospacing="0" w:line="240" w:lineRule="auto"/>
        <w:jc w:val="center"/>
        <w:widowControl/>
        <w:pStyle w:val="BodyText2"/>
        <w:rPr>
          <w:b/>
        </w:rPr>
      </w:pPr>
      <w:r>
        <w:rPr>
          <w:b/>
        </w:rPr>
        <w:t xml:space="preserve">5. Whitehead and Lewis: Major Figures of the 1930s </w:t>
        <w:br w:type="textWrapping"/>
        <w:t>Who Influenced Subsequent Philosophy</w:t>
      </w:r>
    </w:p>
    <w:p>
      <w:pPr>
        <w:spacing w:line="240" w:lineRule="auto"/>
        <w:widowControl/>
        <w:pStyle w:val="BodyText"/>
      </w:pPr>
      <w:r>
        <w:t xml:space="preserve">With the 1925 publishing of his Lowell Lectures, </w:t>
      </w:r>
      <w:r>
        <w:rPr>
          <w:i/>
        </w:rPr>
        <w:t>Science and the Modern World</w:t>
      </w:r>
      <w:r>
        <w:t>, Whitehead made quite a splash soon after his arrival at Harvard in 1924 (4:66).</w:t>
      </w:r>
      <w:r>
        <w:rPr>
          <w:rStyle w:val="EndnoteReference"/>
        </w:rPr>
        <w:endnoteReference w:id="74"/>
      </w:r>
      <w:r>
        <w:t xml:space="preserve"> However, his 1927–1928 Gifford Lectures, published in 1929 as </w:t>
      </w:r>
      <w:r>
        <w:rPr>
          <w:i/>
        </w:rPr>
        <w:t>Process and Reality</w:t>
      </w:r>
      <w:r>
        <w:t>, were dauntingly difficult to read and received a mixed reaction.</w:t>
      </w:r>
      <w:r>
        <w:rPr>
          <w:rStyle w:val="EndnoteReference"/>
        </w:rPr>
        <w:endnoteReference w:id="75"/>
      </w:r>
      <w:r>
        <w:t xml:space="preserve"> Drawing from his work in science and mathematics, he sought to construct a grand metaphysical system that did justice to the insights of evolutionary biology, relativity theory, and quantum mechanics. Though it was similar in its ambitions to earlier metaphysical system builders, such as Kant, Leibniz, and Hegel, it was noticeably different in rejecting the modern metaphysical project of seeking a closed system of apodictic truths. In this way, Whitehead attempted to frame a new way of doing metaphysics that recognizes it as a “hypothesis” that must be continually revised. </w:t>
      </w:r>
    </w:p>
    <w:p>
      <w:pPr>
        <w:spacing w:line="240" w:lineRule="auto"/>
        <w:widowControl/>
        <w:pStyle w:val="BodyText2"/>
      </w:pPr>
      <w:r>
        <w:t xml:space="preserve">This fallibilistic approach to metaphysics is quite unusual compared to the standard of modern metaphysics, but it makes sense relative to the pragmatist bent of the early twentieth century. Although Whitehead developed his ideas in Britain, independent of the classical American tradition, he consistently and approvingly made mention of the similarity of his thought to his American cousins. Like Peirce, James, and Dewey, Whitehead rejected dualism in favor of a panorganicism or panexperientialism. </w:t>
      </w:r>
    </w:p>
    <w:p>
      <w:pPr>
        <w:spacing w:line="240" w:lineRule="auto"/>
        <w:widowControl/>
        <w:pStyle w:val="BodyText2"/>
      </w:pPr>
      <w:r>
        <w:t>Like some of the other pragmatists, particularly Peirce, Whitehead cannot be neatly put into either the empiricist or idealist camps. Whitehead’s own solution to the impasse between the two warring camps was, as he put it in his Gifford Lectures, the “transformation of some main doctrines of Absolute Idealism onto a realistic basis.”</w:t>
      </w:r>
      <w:r>
        <w:rPr>
          <w:rStyle w:val="EndnoteReference"/>
        </w:rPr>
        <w:endnoteReference w:id="76"/>
      </w:r>
      <w:r>
        <w:t xml:space="preserve"> As George R. Lucas has put it: </w:t>
      </w:r>
    </w:p>
    <w:p>
      <w:pPr>
        <w:ind w:left="446"/>
        <w:spacing w:before="100" w:beforeAutospacing="0" w:after="100" w:afterAutospacing="0" w:line="240" w:lineRule="auto"/>
        <w:widowControl/>
        <w:pStyle w:val="blockquote"/>
        <w:tabs>
          <w:tab w:val="clear" w:pos="215"/>
        </w:tabs>
      </w:pPr>
      <w:r>
        <w:t>In fact, we will now observe that this task [of transformation] had already been accomplished (albeit inadvertently) by the realists themselves. Whitehead’s philosophy seemed, at the time, grounded in the more recent developments in relativity theory and quantum mechanics, and also seemed compatible in the main with the positions of the leading evolutionary cosmologists. As a result, later critical realists, deeply frustrated by the abject failure of their own efforts, saw in Whitehead’s speculative system the last and best hope for the salvation of their own philosophic endeavor.</w:t>
      </w:r>
      <w:r>
        <w:rPr>
          <w:rStyle w:val="EndnoteReference"/>
        </w:rPr>
        <w:endnoteReference w:id="77"/>
      </w:r>
    </w:p>
    <w:p>
      <w:pPr>
        <w:spacing w:line="240" w:lineRule="auto"/>
        <w:widowControl/>
        <w:pStyle w:val="BodyText2"/>
      </w:pPr>
      <w:r>
        <w:t>Whitehead’s presidential address, “Objects and Subjects,” provides a window into his complex process metaphysics.</w:t>
      </w:r>
      <w:r>
        <w:rPr>
          <w:rStyle w:val="EndnoteReference"/>
        </w:rPr>
        <w:endnoteReference w:id="78"/>
      </w:r>
      <w:r>
        <w:t xml:space="preserve"> One of his most significant contributions to twentieth-century thought, his repudiation of the notion of “valueless, vacuous actuality, had previously been published in </w:t>
      </w:r>
      <w:r>
        <w:rPr>
          <w:i/>
        </w:rPr>
        <w:t>The Function of Reason</w:t>
      </w:r>
      <w:r>
        <w:t>.”</w:t>
      </w:r>
      <w:r>
        <w:rPr>
          <w:rStyle w:val="EndnoteReference"/>
        </w:rPr>
        <w:endnoteReference w:id="79"/>
      </w:r>
      <w:r>
        <w:t xml:space="preserve"> Reality is not a closed system of passive, inert, lifeless bits that are brought into external relations by absolute and unflinching laws of nature. Ours is an open ended, processive cosmos, a creative becoming of vibratory vectors of energy defined by mutual dependence and interrelation. </w:t>
      </w:r>
    </w:p>
    <w:p>
      <w:pPr>
        <w:spacing w:line="240" w:lineRule="auto"/>
        <w:widowControl/>
        <w:pStyle w:val="BodyText2"/>
      </w:pPr>
      <w:r>
        <w:t>For Whitehead, Western thought has too often proceeded under the assumption that human subjects are fundamentally different than, an exception to, the rest of reality. “Experience” has been interpreted narrowly to refer to an active knowing subject surveying a world of passive objects. As Whitehead noted in his address, no topic has “suffered more” at the hands of philosophers than the subject-object relation (4:71). Though our unavoidable seat of experience, we should reject Descartes’s invitation to take the thinking subject as ontologically basic. Whereas Descartes takes the thinker to be creating the occasional thought, Whitehead’s philosophy of organism “inverts the order, and conceives the thought as a constituent operation in the creation of the occasional thinker. The thinker is the final end whereby there is the thought.”</w:t>
      </w:r>
      <w:r>
        <w:rPr>
          <w:rStyle w:val="EndnoteReference"/>
        </w:rPr>
        <w:endnoteReference w:id="80"/>
      </w:r>
      <w:r>
        <w:t xml:space="preserve"> Consciousness and thought are undeniably important, but are late-stage, high-grade forms of experience; they are not ontologically basic. In his address, Whitehead argued:</w:t>
      </w:r>
    </w:p>
    <w:p>
      <w:pPr>
        <w:ind w:left="446"/>
        <w:spacing w:before="100" w:beforeAutospacing="0" w:after="100" w:afterAutospacing="0" w:line="240" w:lineRule="auto"/>
        <w:widowControl/>
        <w:pStyle w:val="blockquote"/>
        <w:tabs>
          <w:tab w:val="clear" w:pos="215"/>
        </w:tabs>
      </w:pPr>
      <w:r>
        <w:t>I contend that the notion of mere knowledge is a high abstraction, and that conscious discrimination itself is a variable factor only present in the more elaborate examples of occasions of experience. The basis of experience is emotional. Stated more generally, the basic fact is the rise of an affective tone originating from things whose relevance is given. (4:71)</w:t>
      </w:r>
    </w:p>
    <w:p>
      <w:pPr>
        <w:spacing w:line="240" w:lineRule="auto"/>
        <w:widowControl/>
        <w:pStyle w:val="BodyText2"/>
      </w:pPr>
      <w:r>
        <w:t>By reducing the subject-object relation to the knower-known relation, philosophers are in danger of committing what Whitehead called the “fallacy of misplaced concreteness.”</w:t>
      </w:r>
      <w:r>
        <w:rPr>
          <w:rStyle w:val="EndnoteReference"/>
        </w:rPr>
        <w:endnoteReference w:id="81"/>
      </w:r>
      <w:r>
        <w:t xml:space="preserve"> Too many thinkers proceed under the assumption that their abstract formulations, whether linguistic or mathematical, can, in principle, adequately characterize reality. Whitehead argued that although language is an essential tool for thought:</w:t>
      </w:r>
    </w:p>
    <w:p>
      <w:pPr>
        <w:ind w:left="446"/>
        <w:spacing w:before="100" w:beforeAutospacing="0" w:after="100" w:afterAutospacing="0" w:line="240" w:lineRule="auto"/>
        <w:widowControl/>
        <w:pStyle w:val="blockquote"/>
        <w:tabs>
          <w:tab w:val="clear" w:pos="215"/>
        </w:tabs>
      </w:pPr>
      <w:r>
        <w:t>Thus in philosophy linguistic discussion is a tool, but should never be a master. Language is imperfect both in its words and in its forms. Thus we discover two main errors to which philosophic method is liable, one is the uncritical trust in the adequacy of language, and the other is the uncritical trust in the strained attitude of introspection as the basis for epistemology.</w:t>
      </w:r>
      <w:r>
        <w:rPr>
          <w:rStyle w:val="EndnoteReference"/>
        </w:rPr>
        <w:endnoteReference w:id="82"/>
      </w:r>
    </w:p>
    <w:p>
      <w:pPr>
        <w:spacing w:line="240" w:lineRule="auto"/>
        <w:widowControl/>
        <w:pStyle w:val="BodyText"/>
      </w:pPr>
      <w:r>
        <w:t>Language, however, will always fall short:</w:t>
      </w:r>
    </w:p>
    <w:p>
      <w:pPr>
        <w:ind w:left="446"/>
        <w:spacing w:before="100" w:beforeAutospacing="0" w:after="100" w:afterAutospacing="0" w:line="240" w:lineRule="auto"/>
        <w:widowControl/>
        <w:pStyle w:val="blockquote"/>
        <w:tabs>
          <w:tab w:val="clear" w:pos="215"/>
        </w:tabs>
      </w:pPr>
      <w:r>
        <w:t>Words and phrases must be stretched towards a generality foreign to their ordinary usage; and however such elements of language be stabilized as technicalities, they remain metaphors mutely appealing for an imaginative leap.</w:t>
      </w:r>
      <w:r>
        <w:rPr>
          <w:rStyle w:val="EndnoteReference"/>
        </w:rPr>
        <w:endnoteReference w:id="83"/>
      </w:r>
      <w:r>
        <w:t xml:space="preserve"> </w:t>
      </w:r>
    </w:p>
    <w:p>
      <w:pPr>
        <w:spacing w:line="240" w:lineRule="auto"/>
        <w:widowControl/>
        <w:pStyle w:val="BodyText"/>
      </w:pPr>
      <w:r>
        <w:t>It is perhaps for this reason that Whitehead often returned to poets, whose rich use of metaphor captures a greater share of the texture of reality than the mathematically precise, but necessarily reductive, accounts of scientists.</w:t>
      </w:r>
      <w:r>
        <w:rPr>
          <w:rStyle w:val="EndnoteReference"/>
        </w:rPr>
        <w:endnoteReference w:id="84"/>
      </w:r>
      <w:r>
        <w:t xml:space="preserve"> Thus, with Wordsworth, Whitehead believed that too often, “we murder to dissect.”</w:t>
      </w:r>
      <w:r>
        <w:rPr>
          <w:rStyle w:val="EndnoteReference"/>
        </w:rPr>
        <w:endnoteReference w:id="85"/>
      </w:r>
      <w:r>
        <w:t xml:space="preserve"> Simplification and reduction are useful, but we must not forget they are necessarily partial formulations, abstractions standing in place of concrete reality. We do great violence to reality when we mistake an abstraction for what is concrete. </w:t>
      </w:r>
    </w:p>
    <w:p>
      <w:pPr>
        <w:spacing w:line="240" w:lineRule="auto"/>
        <w:widowControl/>
        <w:pStyle w:val="BodyText2"/>
      </w:pPr>
      <w:r>
        <w:t xml:space="preserve">For Whitehead, part of the problem with taking the knower-known relationship as fundamental is that it fails to adequately represent the </w:t>
      </w:r>
      <w:r>
        <w:rPr>
          <w:i/>
        </w:rPr>
        <w:t>constitutive</w:t>
      </w:r>
      <w:r>
        <w:t xml:space="preserve"> nature of relations. Knowing is always at arm’s length, as it were; a subject </w:t>
      </w:r>
      <w:r>
        <w:rPr>
          <w:i/>
        </w:rPr>
        <w:t xml:space="preserve">has </w:t>
      </w:r>
      <w:r>
        <w:t xml:space="preserve">knowledge of the object. Cognitive relations are external to the subject; they do not affect or constitute what the subject is. I can intellectually </w:t>
      </w:r>
      <w:r>
        <w:rPr>
          <w:i/>
        </w:rPr>
        <w:t>understand</w:t>
      </w:r>
      <w:r>
        <w:t xml:space="preserve"> what joy is—I can have knowledge of it—but that does not </w:t>
      </w:r>
      <w:r>
        <w:rPr>
          <w:i/>
        </w:rPr>
        <w:t>make</w:t>
      </w:r>
      <w:r>
        <w:t xml:space="preserve"> me joyful. Feelings, on the other hand, are internal and constitutive. When I am fearful or angry, it is not a sterile cognitive state. I do not </w:t>
      </w:r>
      <w:r>
        <w:rPr>
          <w:i/>
        </w:rPr>
        <w:t>have</w:t>
      </w:r>
      <w:r>
        <w:t xml:space="preserve"> anger, or </w:t>
      </w:r>
      <w:r>
        <w:rPr>
          <w:i/>
        </w:rPr>
        <w:t>know</w:t>
      </w:r>
      <w:r>
        <w:t xml:space="preserve"> anger, I </w:t>
      </w:r>
      <w:r>
        <w:rPr>
          <w:i/>
        </w:rPr>
        <w:t>am</w:t>
      </w:r>
      <w:r>
        <w:t xml:space="preserve"> angry. It is part of what I am at that moment. It is this sense of internal, constitutive relatedness that Whitehead had in mind in arguing in “Objects and Subjects” that “the basis of experience is emotional” (4:71). Indeed, elsewhere, Whitehead went so far as to suggest that his “philosophy of organism” could be seen as a sort of “critique of pure feeling” analogous to Kant’s </w:t>
      </w:r>
      <w:r>
        <w:rPr>
          <w:i/>
        </w:rPr>
        <w:t>Critique of Pure Reason</w:t>
      </w:r>
      <w:r>
        <w:t>.</w:t>
      </w:r>
      <w:r>
        <w:rPr>
          <w:rStyle w:val="EndnoteReference"/>
        </w:rPr>
        <w:endnoteReference w:id="86"/>
      </w:r>
      <w:r>
        <w:t xml:space="preserve"> To capture this insight, Whitehead argued that it is not “comprehension” that is the most basic form of relation, but “prehension,” from the Latin root “to grasp.” He held that prehension is the most basic form of relation between individuals (4:72). </w:t>
      </w:r>
    </w:p>
    <w:p>
      <w:pPr>
        <w:ind w:left="0" w:firstLine="446"/>
        <w:widowControl/>
        <w:pStyle w:val="EndnoteText"/>
        <w:tabs>
          <w:tab w:val="left" w:pos="648" w:leader="none"/>
        </w:tabs>
        <w:rPr>
          <w:sz w:val="20"/>
        </w:rPr>
      </w:pPr>
      <w:r>
        <w:rPr>
          <w:sz w:val="20"/>
        </w:rPr>
        <w:t xml:space="preserve">According to Whitehead’s “philosophy of organism,” the most basic form of relation is not a subject that </w:t>
      </w:r>
      <w:r>
        <w:rPr>
          <w:sz w:val="20"/>
          <w:i/>
        </w:rPr>
        <w:t>has</w:t>
      </w:r>
      <w:r>
        <w:rPr>
          <w:sz w:val="20"/>
        </w:rPr>
        <w:t xml:space="preserve"> knowledge of an object, but a subject that comes to </w:t>
      </w:r>
      <w:r>
        <w:rPr>
          <w:sz w:val="20"/>
          <w:i/>
        </w:rPr>
        <w:t>be</w:t>
      </w:r>
      <w:r>
        <w:rPr>
          <w:sz w:val="20"/>
        </w:rPr>
        <w:t xml:space="preserve"> by being affected by another—other subject-superjects, to be precise. It is in this context that I understand Whitehead’s appeal to the Quaker notion of “concern”: “the occasion as subject has a ‘concern’ for the object” (4:71). What Whitehead was after is the “affective tone” that comes with concern: </w:t>
      </w:r>
    </w:p>
    <w:p>
      <w:pPr>
        <w:ind w:left="446" w:firstLine="0"/>
        <w:spacing w:before="100" w:beforeAutospacing="0" w:after="100" w:afterAutospacing="0"/>
        <w:widowControl/>
        <w:pStyle w:val="EndnoteText"/>
        <w:tabs>
          <w:tab w:val="left" w:pos="648" w:leader="none"/>
        </w:tabs>
        <w:rPr>
          <w:sz w:val="20"/>
        </w:rPr>
      </w:pPr>
      <w:r>
        <w:rPr>
          <w:sz w:val="20"/>
        </w:rPr>
        <w:t>It must be distinctly understood that no prehension, even of bare sense, can be divested of its affective tone, that is to say, of its character of a “concern” in the Quaker sense. Concernedness is of the essence of perception. (4:75)</w:t>
      </w:r>
    </w:p>
    <w:p>
      <w:pPr>
        <w:spacing w:line="240" w:lineRule="auto"/>
        <w:widowControl/>
        <w:pStyle w:val="BodyText2"/>
      </w:pPr>
      <w:r>
        <w:t xml:space="preserve">Following Plato’s </w:t>
      </w:r>
      <w:r>
        <w:rPr>
          <w:i/>
        </w:rPr>
        <w:t>Sophist</w:t>
      </w:r>
      <w:r>
        <w:t xml:space="preserve">, Whitehead recognized that to exist is to affect and be affected (4:74). The most fundamental relations are constitutive; the object affects, gets inside the subject. Similarly, in </w:t>
      </w:r>
      <w:r>
        <w:rPr>
          <w:i/>
        </w:rPr>
        <w:t>Science and the Modern World</w:t>
      </w:r>
      <w:r>
        <w:t>, Whitehead asserted: “the position here maintained is that the relationships of an event are internal, so far as concerns the event itself; that is to say, that they are constitutive of what the event is in itself.”</w:t>
      </w:r>
      <w:r>
        <w:rPr>
          <w:rStyle w:val="EndnoteReference"/>
        </w:rPr>
        <w:endnoteReference w:id="87"/>
      </w:r>
      <w:r>
        <w:t xml:space="preserve"> The world is not composed of static subjects that </w:t>
      </w:r>
      <w:r>
        <w:rPr>
          <w:i/>
        </w:rPr>
        <w:t>have</w:t>
      </w:r>
      <w:r>
        <w:t xml:space="preserve"> relations. Rather, each dynamic subject </w:t>
      </w:r>
      <w:r>
        <w:rPr>
          <w:i/>
        </w:rPr>
        <w:t>is</w:t>
      </w:r>
      <w:r>
        <w:t xml:space="preserve"> its relations. Importantly, this view utterly rejects the invidious dualism that bifurcates the world into subjects and objects. Instead, according to this view, “subject and object are relative terms” (4:72). Every individual is at once a subjective unification of experience </w:t>
      </w:r>
      <w:r>
        <w:rPr>
          <w:i/>
        </w:rPr>
        <w:t>and</w:t>
      </w:r>
      <w:r>
        <w:t xml:space="preserve"> an object for others; it is a subject-superject. Whitehead asserted:</w:t>
      </w:r>
    </w:p>
    <w:p>
      <w:pPr>
        <w:ind w:left="446"/>
        <w:spacing w:before="100" w:beforeAutospacing="0" w:after="100" w:afterAutospacing="0" w:line="240" w:lineRule="auto"/>
        <w:widowControl/>
        <w:pStyle w:val="blockquote"/>
        <w:tabs>
          <w:tab w:val="clear" w:pos="215"/>
        </w:tabs>
      </w:pPr>
      <w:r>
        <w:t>This is the doctrine of the emergent unity of the superject. An actual entity is to be conceived both as a subject presiding over its own immediacy of becoming, and a superject which is the atomic creature exercising its function of objective immortality. It has become a “being”; and it belongs to the nature of every “being” that it is a potential for every “becoming.”</w:t>
      </w:r>
      <w:r>
        <w:rPr>
          <w:vertAlign w:val="superscript"/>
        </w:rPr>
        <w:t xml:space="preserve"> </w:t>
      </w:r>
      <w:r>
        <w:rPr>
          <w:rStyle w:val="EndnoteReference"/>
        </w:rPr>
        <w:endnoteReference w:id="88"/>
      </w:r>
    </w:p>
    <w:p>
      <w:pPr>
        <w:ind w:left="446"/>
        <w:spacing w:after="160" w:afterAutospacing="0" w:line="240" w:lineRule="auto"/>
        <w:widowControl/>
        <w:pStyle w:val="blockquote"/>
        <w:tabs>
          <w:tab w:val="clear" w:pos="215"/>
        </w:tabs>
      </w:pPr>
      <w:r>
        <w:t>The subject, thus constituted, is the autonomous master of its own</w:t>
        <w:br w:type="textWrapping"/>
        <w:t>concrescence into subject-superject. It passes from a subjective aim in concrescence into a superject with objective immortality. At any state it is subject-superject.</w:t>
      </w:r>
      <w:r>
        <w:rPr>
          <w:rStyle w:val="EndnoteReference"/>
        </w:rPr>
        <w:endnoteReference w:id="89"/>
      </w:r>
    </w:p>
    <w:p>
      <w:pPr>
        <w:spacing w:line="240" w:lineRule="auto"/>
        <w:widowControl/>
        <w:pStyle w:val="BodyText2"/>
      </w:pPr>
      <w:r>
        <w:t>This is the most basic characterization of actuality. “The oneness of the universe, and the oneness of each element in the universe, repeat themselves to the crack of doom in the creative advance from creature to creature.”</w:t>
      </w:r>
      <w:r>
        <w:rPr>
          <w:rStyle w:val="EndnoteReference"/>
        </w:rPr>
        <w:endnoteReference w:id="90"/>
      </w:r>
      <w:r>
        <w:t xml:space="preserve"> </w:t>
      </w:r>
    </w:p>
    <w:p>
      <w:pPr>
        <w:spacing w:line="240" w:lineRule="auto"/>
        <w:widowControl/>
        <w:pStyle w:val="BodyText2"/>
      </w:pPr>
      <w:r>
        <w:t xml:space="preserve">Notice that on this view, not only is subjectivity not best understood in cognitive terms, it is also not limited to human beings. </w:t>
      </w:r>
      <w:r>
        <w:rPr>
          <w:i/>
        </w:rPr>
        <w:t>Every</w:t>
      </w:r>
      <w:r>
        <w:t xml:space="preserve"> energetic pulse of reality is a subjective center of experience. Subjectivity is not limited to human knowers; it reaches into the deepest depths of reality. “Apart from the experiences of subjects there is nothing, nothing, nothing, bare nothingness.”</w:t>
      </w:r>
      <w:r>
        <w:rPr>
          <w:rStyle w:val="EndnoteReference"/>
        </w:rPr>
        <w:endnoteReference w:id="91"/>
      </w:r>
      <w:r>
        <w:t xml:space="preserve"> This unique form of pansubjectivism washes away the final vestiges of dualism, irrevocably reshaping the contours of the philosophical landscape. </w:t>
      </w:r>
    </w:p>
    <w:p>
      <w:pPr>
        <w:spacing w:line="240" w:lineRule="auto"/>
        <w:widowControl/>
        <w:pStyle w:val="BodyText2"/>
      </w:pPr>
      <w:r>
        <w:t>Unfortunately, Whitehead’s metaphysical system, what he called the “philosophy of organism,” was born in the wrong season. The winds of philosophical interest shifted from his complex philosophy of organism to logical positivism and its attack on metaphysics of every stripe. Although logical empiricism ultimately fades from interest, the appetite for metaphysical system building does not return. Indeed, even when the great interest in metaphysics returns to the American academy in the closing decades of the twentieth century, it has been declawed of its systematic tendencies, content with description.</w:t>
      </w:r>
    </w:p>
    <w:p>
      <w:pPr>
        <w:spacing w:line="240" w:lineRule="auto"/>
        <w:widowControl/>
        <w:pStyle w:val="BodyText2"/>
      </w:pPr>
      <w:r>
        <w:t>Among the presidents of the 1930s, Lewis has perhaps most significantly affected the trajectory of subsequent philosophical thought. From his pioneering work in modern modal logic,</w:t>
      </w:r>
      <w:r>
        <w:rPr>
          <w:rStyle w:val="EndnoteReference"/>
        </w:rPr>
        <w:endnoteReference w:id="92"/>
      </w:r>
      <w:r>
        <w:t xml:space="preserve"> he was instrumental in the rise of analytic philosophy, which came to dominate academic philosophy for the latter half of the twentieth century. He defended several propositions that have come to define the analytic project: (1) a sharp analytic/synthetic, a priori/a posteriori distinction; (2) reductionism concerning the meaning of a physical object statement to the actual and possible sense experiences that would confirm the statement; (3) a foundation for all empirical knowledge in our direct apprehension or immediate awareness of the given character of experience; and (4) the division of experience into its given content or character, on the one hand, and the form we impose on it, or the concepts in the light of which we interpret it, on the other.</w:t>
      </w:r>
      <w:r>
        <w:rPr>
          <w:rStyle w:val="EndnoteReference"/>
        </w:rPr>
        <w:endnoteReference w:id="93"/>
      </w:r>
      <w:r>
        <w:t xml:space="preserve"> </w:t>
      </w:r>
    </w:p>
    <w:p>
      <w:pPr>
        <w:spacing w:line="240" w:lineRule="auto"/>
        <w:widowControl/>
        <w:pStyle w:val="BodyText2"/>
      </w:pPr>
      <w:r>
        <w:t>Willard Van Orman Quine (1957–1958) famously called (1) and (2) the “two dogmas of empiricism,”</w:t>
      </w:r>
      <w:r>
        <w:rPr>
          <w:rStyle w:val="EndnoteReference"/>
        </w:rPr>
        <w:endnoteReference w:id="94"/>
      </w:r>
      <w:r>
        <w:t xml:space="preserve"> Wilfrid Stalker Sellars (1970–1971) called (3) the “myth of the given,”</w:t>
      </w:r>
      <w:r>
        <w:rPr>
          <w:rStyle w:val="EndnoteReference"/>
        </w:rPr>
        <w:endnoteReference w:id="95"/>
      </w:r>
      <w:r>
        <w:t xml:space="preserve"> and Donald Herbert Davidson (1973–1974; 1985–1986) called (4) the “third dogma of empiricism,”</w:t>
      </w:r>
      <w:r>
        <w:rPr>
          <w:rStyle w:val="EndnoteReference"/>
        </w:rPr>
        <w:endnoteReference w:id="96"/>
      </w:r>
      <w:r>
        <w:t xml:space="preserve"> although in Lewis’s mind, (4) may owe more to Kant than to the empiricists. Interestingly, Lewis credited “a course in metaphysics offered by James and Royce with inspiring the “conceptual pragmatism” of his </w:t>
      </w:r>
      <w:r>
        <w:rPr>
          <w:i/>
        </w:rPr>
        <w:t>Mind and the World-Order</w:t>
      </w:r>
      <w:r>
        <w:t xml:space="preserve"> (1929)” (4:213).</w:t>
      </w:r>
      <w:r>
        <w:rPr>
          <w:rStyle w:val="EndnoteReference"/>
        </w:rPr>
        <w:endnoteReference w:id="97"/>
      </w:r>
      <w:r>
        <w:t xml:space="preserve"> This analytic wing of the pragmatist tradition continued through the work of philosophers such as Davidson, Richard McKay Rorty (1979–1980), and Robert Brandom. In Lewis’s address, “Experience and Meaning,” he explored: </w:t>
      </w:r>
    </w:p>
    <w:p>
      <w:pPr>
        <w:ind w:left="446"/>
        <w:spacing w:before="100" w:beforeAutospacing="0" w:after="100" w:afterAutospacing="0" w:line="240" w:lineRule="auto"/>
        <w:widowControl/>
        <w:pStyle w:val="blockquote"/>
        <w:tabs>
          <w:tab w:val="clear" w:pos="215"/>
        </w:tabs>
      </w:pPr>
      <w:r>
        <w:t>questions concerning the limitations imposed upon significant philosophic discussion by this requirement of empirical meaning; in particular certain issues which are likely to divide those who approach these problems with the thought of James and Peirce and Dewey in mind from the logical positivists. (4:217–218)</w:t>
      </w:r>
    </w:p>
    <w:p>
      <w:pPr>
        <w:spacing w:line="240" w:lineRule="auto"/>
        <w:widowControl/>
        <w:pStyle w:val="BodyText"/>
      </w:pPr>
      <w:r>
        <w:t>He began by critiquing the idea of what James called the “specious present”: “all must finally dissolve into the eternal now of actually given experience” (4:219). To maintain this, Lewis argued, is a:</w:t>
      </w:r>
    </w:p>
    <w:p>
      <w:pPr>
        <w:ind w:left="446"/>
        <w:spacing w:before="100" w:beforeAutospacing="0" w:after="100" w:afterAutospacing="0" w:line="240" w:lineRule="auto"/>
        <w:widowControl/>
        <w:pStyle w:val="blockquote"/>
        <w:tabs>
          <w:tab w:val="clear" w:pos="215"/>
        </w:tabs>
      </w:pPr>
      <w:r>
        <w:t>reduction to absurdity of both knowledge and meaning. If nothing can be known but what is literally within the cognitive experience itself, and what is meant can be only that which is present in the experience which is the bearer of that meaning, then there is no valid knowledge and no genuinely significant meaning. (4:221)</w:t>
      </w:r>
    </w:p>
    <w:p>
      <w:pPr>
        <w:spacing w:line="240" w:lineRule="auto"/>
        <w:widowControl/>
        <w:pStyle w:val="BodyText"/>
      </w:pPr>
      <w:r>
        <w:t xml:space="preserve">This problem is, of course, as Lewis noted, the problem philosophy has inherited from Kant (4:222). Lewis’s response to this problem was to appeal to the pragmatist tradition, in which “knowing begins and ends in experience; but it does not end in the experience in which it begins” (4:223). His interpretation of this pragmatic maxim was: </w:t>
      </w:r>
    </w:p>
    <w:p>
      <w:pPr>
        <w:ind w:left="446"/>
        <w:spacing w:before="100" w:beforeAutospacing="0" w:after="100" w:afterAutospacing="0" w:line="240" w:lineRule="auto"/>
        <w:widowControl/>
        <w:pStyle w:val="blockquote"/>
        <w:tabs>
          <w:tab w:val="clear" w:pos="215"/>
        </w:tabs>
      </w:pPr>
      <w:r>
        <w:t>The requirement of empirical meaning is at bottom nothing more than . . . that the terms we use should possess denotation. As this requirement is interpreted by pragmatists and positivists and others who share the tendencies of thought which have been mentioned, no concept has any denotation at all unless eventually in terms of sensuous data or imagery. (4:227–228)</w:t>
      </w:r>
    </w:p>
    <w:p>
      <w:pPr>
        <w:spacing w:line="240" w:lineRule="auto"/>
        <w:widowControl/>
        <w:pStyle w:val="BodyText"/>
      </w:pPr>
      <w:r>
        <w:t>This passage nicely captures the extent to which, for some philosophers in the 1930s, the positivist and pragmatist traditions were of a piece, as we saw Morris argue in his address. In this sense, the analytic tradition is not opposed to, but is in part an outgrowth of, the pragmatist tradition.</w:t>
      </w:r>
    </w:p>
    <w:p>
      <w:pPr>
        <w:spacing w:before="100" w:beforeAutospacing="0" w:after="100" w:afterAutospacing="0" w:line="240" w:lineRule="auto"/>
        <w:jc w:val="center"/>
        <w:widowControl/>
        <w:pStyle w:val="BodyText"/>
        <w:rPr>
          <w:b/>
        </w:rPr>
      </w:pPr>
      <w:r>
        <w:rPr>
          <w:b/>
        </w:rPr>
        <w:t>6. What Is Philosophy? On the State (and Nature) of the Discipline</w:t>
      </w:r>
    </w:p>
    <w:p>
      <w:pPr>
        <w:spacing w:line="240" w:lineRule="auto"/>
        <w:widowControl/>
        <w:pStyle w:val="BodyText"/>
      </w:pPr>
      <w:r>
        <w:t xml:space="preserve">One of the most common tendencies in the 1930s was to take the occasion of delivering a presidential address to give a commentary on the state of the discipline, a sort of philosophical state of the union, if you will. As Spaulding put it, “some ask, What is philosophy about?, others, What about philosophy?” (4:159). The addresses considered here take up questions such as these. </w:t>
      </w:r>
    </w:p>
    <w:p>
      <w:pPr>
        <w:spacing w:line="240" w:lineRule="auto"/>
        <w:widowControl/>
        <w:pStyle w:val="BodyText2"/>
      </w:pPr>
      <w:r>
        <w:t xml:space="preserve">As the title, “Philosophy and the Problem of Value,” suggests, Albert Perley Brogan’s (1931–1932) address defended the ancient, but at the time unpopular, view, “the primary task of philosophy is the study or the theory of value” (4:116). In defending this claim, he wanted to avoid the “misunderstanding” that this limits philosophy to ethics and aesthetics. Much of Brogan’s talk sought to demonstrate that logic and epistemology are also properly part of the problem of value. Indeed, having been inspired by his reading of Dewey’s </w:t>
      </w:r>
      <w:r>
        <w:rPr>
          <w:i/>
        </w:rPr>
        <w:t>Experience and Nature</w:t>
      </w:r>
      <w:r>
        <w:t xml:space="preserve">, he concluded that logic (and epistemology) are ultimately part of the general theory of value and therefore part of philosophical investigation (4:127). Thus, his claim, “all problems that are primarily problems of value are philosophical” was not intended to be reductive (4:116–117). </w:t>
      </w:r>
    </w:p>
    <w:p>
      <w:pPr>
        <w:spacing w:line="240" w:lineRule="auto"/>
        <w:widowControl/>
        <w:pStyle w:val="BodyText2"/>
      </w:pPr>
      <w:r>
        <w:t xml:space="preserve">Brogan evinced an expansive understanding of value, but it was not all inclusive. Like Loewenberg, he rejected what he called the “royal road to existence” or metaphysics; i.e., he rejected the idea that philosophy is a special means by which to gain knowledge about existence. Rather, he considered questions of existence to be in the domain of the “special sciences” (4:120). Thus, by defining the boundaries of philosophy with the problem of value, Brogan’s aim was to “eliminate this aspect of philosophy” (4:123), i.e., he aimed to eliminate metaphysics or the “the study of reality” from the scope of philosophy (4:123). No doubt many in the audience were in agreement with his conclusion, even if not his premises. Over the course of the following decades, the APA would become increasingly hostile to metaphysics. Indeed, it was this trend that led Paul Weiss (1966–1967) to found </w:t>
      </w:r>
      <w:r>
        <w:rPr>
          <w:i/>
        </w:rPr>
        <w:t>The Review of Metaphysics</w:t>
      </w:r>
      <w:r>
        <w:t xml:space="preserve"> (1947) and the Metaphysical Society of America (1950). </w:t>
      </w:r>
    </w:p>
    <w:p>
      <w:pPr>
        <w:spacing w:line="240" w:lineRule="auto"/>
        <w:widowControl/>
        <w:pStyle w:val="BodyText2"/>
      </w:pPr>
      <w:r>
        <w:t xml:space="preserve">Thomas Vernor Smith’s (1934–1935) address, “‘The Tragic Realm of Truth,’” advocated for modesty in the pursuit of truth. He began by admitting his fondness for science and its achievements, applauding its stirring of “the hunger and hope of mankind for truth” (4:332). However, he was doubtful of science’s ability to sate the hunger it has stirred: “Science has restirred the hunger and hope of mankind for truth. . . . What science has given us becomes, indeed, as stones to the bread we expected of it. We have asked for truth; we have been given gadgets” (4:332). </w:t>
      </w:r>
    </w:p>
    <w:p>
      <w:pPr>
        <w:spacing w:line="240" w:lineRule="auto"/>
        <w:widowControl/>
        <w:pStyle w:val="BodyText2"/>
      </w:pPr>
      <w:r>
        <w:t>Nonetheless, Smith’s address was not primarily about the inadequacy of science, but about the inadequacy of human beings to arrive at truth. As he stated, “lowly wants, only dimly conscious of the next step, are more potent social forces than are the most shining ideals encompassing all peoples and all times” (4:340). This sort of epistemic modesty was also the focus of Stephen Coburn Pepper’s (1935–1936) address, “The Quest for Ignorance or The Reasonable Limits of Skepticism.”</w:t>
      </w:r>
    </w:p>
    <w:p>
      <w:pPr>
        <w:spacing w:line="240" w:lineRule="auto"/>
        <w:widowControl/>
        <w:pStyle w:val="BodyText2"/>
      </w:pPr>
      <w:r>
        <w:t>Pepper was a major figure in the field of aesthetics during the first half of the twentieth century (4:345–347). In his address, he considered the ancient challenge of “utter skepticism.” He claimed, “the blackest black appears only with the whitest white, . . . utter skepticism—a skepticism void of all knowledge—could not know itself and stands refuted in its very utterance” (4:349). His task was not mainly to refute the pure skeptic, but rather to ask, “How much can be reasonably doubted?” (4:349).</w:t>
      </w:r>
    </w:p>
    <w:p>
      <w:pPr>
        <w:spacing w:line="240" w:lineRule="auto"/>
        <w:widowControl/>
        <w:pStyle w:val="BodyText2"/>
      </w:pPr>
      <w:r>
        <w:t xml:space="preserve">Pepper rejected as unreasonable the “black skeptic” who doubts everything, insisting instead that we ought to embrace: </w:t>
      </w:r>
    </w:p>
    <w:p>
      <w:pPr>
        <w:ind w:left="446"/>
        <w:spacing w:before="100" w:beforeAutospacing="0" w:after="100" w:afterAutospacing="0" w:line="240" w:lineRule="auto"/>
        <w:widowControl/>
        <w:pStyle w:val="blockquote"/>
        <w:tabs>
          <w:tab w:val="clear" w:pos="215"/>
        </w:tabs>
      </w:pPr>
      <w:r>
        <w:t>a gray skepticism . . . [that] admits as much ignorance as a reasonable skeptic can accept. . . . If this sounds more like the quest for knowledge than the quest for ignorance, perhaps that is because there is no difference between the two, provided both are reasonable. (4:361–362)</w:t>
      </w:r>
    </w:p>
    <w:p>
      <w:pPr>
        <w:spacing w:line="240" w:lineRule="auto"/>
        <w:widowControl/>
        <w:pStyle w:val="BodyText"/>
      </w:pPr>
      <w:r>
        <w:t xml:space="preserve">Whereas Smith and Pepper were both concerned with the proper scope or limit of philosophical study, in the same year, Warner H. Fite (1934–1935) was interested in examining how philosophy can be distinguished from other disciplines in the academy. His “The Philosopher and His Words” is an example of a presidential address that focused not on a particular philosophical issue of concern, but turned its gaze on philosophy itself. He noted that if he were speaking as president of a scientific society, it would be natural to consider the progress in the profession over the previous forty years and perhaps take a prospective look into future trajectory of current work. “But I doubt whether philosophy is the kind of study to which the idea of progress is applicable. . . . Philosophy bakes no bread, it likewise solves no problems” (4:281). These surely would have been fighting words to the numerous pragmatists who would have been in the audience. </w:t>
      </w:r>
    </w:p>
    <w:p>
      <w:pPr>
        <w:spacing w:line="240" w:lineRule="auto"/>
        <w:widowControl/>
        <w:pStyle w:val="BodyText2"/>
      </w:pPr>
      <w:r>
        <w:t xml:space="preserve">Fite’s interest was to account for the nature of philosophy as against its competitors in the academy. Whereas every other department in the university is demarcated by its special methods and its particular content, philosophy seems to study everything and nothing: “Philosophy is then a matter not of any special method but of universal thought. It is peculiar only in having transcended all peculiarities” (4:281). </w:t>
      </w:r>
    </w:p>
    <w:p>
      <w:pPr>
        <w:spacing w:line="240" w:lineRule="auto"/>
        <w:widowControl/>
        <w:pStyle w:val="BodyText2"/>
      </w:pPr>
      <w:r>
        <w:t xml:space="preserve">Curt John Ducasse’s (1939–1940) “Philosophy and Natural Science” also took up this topic of the nature of philosophy, asking, “what specifically distinguishes philosophy from other human enterprises and what sort of method is appropriate to its tasks” (4:595). In particular, Ducasse’s concern was to contrast philosophy and science. His approach diverged from Fite’s and defended the view that what distinguishes philosophy from science is indeed its subject matter (4:599). Specifically, philosophy is distinguished from science in being the study of the introspective mind (4:608). Much of Ducasse’s address was devoted to arguing against certain forms of naturalism to demonstrate that, in fact, something exists beyond the subject matter of science. His central claim was that “Mind” is not reducible to “Nature” and, therefore, the “facts of introspection, because of their private character, are not amenable to scientific study” (4:603). </w:t>
      </w:r>
    </w:p>
    <w:p>
      <w:pPr>
        <w:spacing w:line="240" w:lineRule="auto"/>
        <w:widowControl/>
        <w:pStyle w:val="BodyText2"/>
      </w:pPr>
      <w:r>
        <w:t xml:space="preserve">Harvey Gates Townsend’s (1936–1937) “On the Possibility of a Better World,” is the last within the group of addresses that focused on the nature and scope of philosophy. His thesis was twofold: he defended a particular view of what philosophy is and, in light of world events of the time—especially the rise of Hitler in Germany—argued that philosophy has an important role to play in conceiving of what a better world would look like. </w:t>
      </w:r>
    </w:p>
    <w:p>
      <w:pPr>
        <w:spacing w:line="240" w:lineRule="auto"/>
        <w:widowControl/>
        <w:pStyle w:val="BodyText2"/>
      </w:pPr>
      <w:r>
        <w:t xml:space="preserve">In considering the nature of philosophy, unlike Smith and Brogan, Townsend sought to defend the importance of metaphysics, especially against the ascendant positivists. Indeed, he went so far as to argue: </w:t>
      </w:r>
    </w:p>
    <w:p>
      <w:pPr>
        <w:ind w:left="446"/>
        <w:spacing w:before="100" w:beforeAutospacing="0" w:after="100" w:afterAutospacing="0" w:line="240" w:lineRule="auto"/>
        <w:widowControl/>
        <w:pStyle w:val="blockquote"/>
        <w:tabs>
          <w:tab w:val="clear" w:pos="215"/>
        </w:tabs>
      </w:pPr>
      <w:r>
        <w:t>all of the supreme efforts of the philosophical mind are metaphysical. All speculations concerning acts, words, meanings, values, internal and external relations, categories, phenomena, persons, and prejudices, are but subsidiary efforts to get at the nature of things. (4:436)</w:t>
      </w:r>
    </w:p>
    <w:p>
      <w:pPr>
        <w:spacing w:line="240" w:lineRule="auto"/>
        <w:widowControl/>
        <w:pStyle w:val="BodyText"/>
      </w:pPr>
      <w:r>
        <w:t>Interestingly, Townsend was not making his strenuous defense of metaphysics and philosophy merely in the context of an internecine debate among warring philosophical tribes. He was convinced that philosophy must not give up its aim at getting at the nature of things, in order to resist “undisciplined frenzy of political power” of the likes of Hitler (4:439). He urged philosophers to lead the way in asking “to what extent and by what means can any order, political or otherwise, be willed into existence?” (4:440). The address did not end up doing much to depict what a better world would look like, but it did attempt to argue that philosophy should play a significant role in conceiving of this better world so that it might order “the life of a man who, dreaming, thinks; and through him it orders the world” (4:445).</w:t>
      </w:r>
    </w:p>
    <w:p>
      <w:pPr>
        <w:spacing w:line="240" w:lineRule="auto"/>
        <w:widowControl/>
        <w:pStyle w:val="BodyText2"/>
      </w:pPr>
      <w:r>
        <w:t>Townsend’s address provides a natural transition to the next major group, which concerned how the APA presidents during the 1930s saw the role of philosophy in relation to the very real existential crises that became World War II.</w:t>
      </w:r>
    </w:p>
    <w:p>
      <w:pPr>
        <w:spacing w:before="100" w:beforeAutospacing="0" w:after="100" w:afterAutospacing="0"/>
        <w:jc w:val="center"/>
        <w:widowControl/>
        <w:rPr>
          <w:rFonts w:ascii="Times New Roman" w:hAnsi="Times New Roman" w:eastAsia="Times New Roman"/>
          <w:sz w:val="20"/>
          <w:b/>
          <w:color w:val="auto"/>
        </w:rPr>
      </w:pPr>
      <w:r>
        <w:rPr>
          <w:rFonts w:ascii="Times New Roman" w:hAnsi="Times New Roman" w:eastAsia="Times New Roman"/>
          <w:sz w:val="20"/>
          <w:b/>
          <w:color w:val="auto"/>
        </w:rPr>
        <w:t>7. Philosophy, Fascism, and the Fight for Democracy</w:t>
      </w:r>
    </w:p>
    <w:p>
      <w:pPr>
        <w:spacing w:line="240" w:lineRule="auto"/>
        <w:widowControl/>
        <w:pStyle w:val="BodyText"/>
      </w:pPr>
      <w:r>
        <w:t xml:space="preserve">Whereas the opening years of the 1930s saw the greatest economic depression in United State’s history, by the end of the decade, the Allies of World War II were engaged in an existential fight for their very existence in both Europe and the Pacific. Superimposing these defining events on the presidential addresses of that decade, the extent to which the Great Depression made no appearance is striking. Perhaps those at the pinnacle of the philosophical world were sufficiently uninterested in or insulated from the devastation that was plaguing much of the population. </w:t>
      </w:r>
    </w:p>
    <w:p>
      <w:pPr>
        <w:spacing w:line="240" w:lineRule="auto"/>
        <w:widowControl/>
        <w:pStyle w:val="BodyText2"/>
      </w:pPr>
      <w:r>
        <w:t>Contrarily, the virulent rise of Nazism in Germany, Fascism in Italy, and nationalism in Japan increasingly arrested the attention of the presidents. Although from our twenty-first century vantage point, the eventual victory of the Allies might seem to have been inevitable, in the closing years of the 1930s, Japan had invaded and committed terrible atrocities in China, and Hitler and Mussolini were on the march across Europe. Eventual victory was not so certain, and the existential threat to democracy was palpable in many of the addresses delivered during this period.</w:t>
      </w:r>
    </w:p>
    <w:p>
      <w:pPr>
        <w:spacing w:line="240" w:lineRule="auto"/>
        <w:widowControl/>
        <w:pStyle w:val="BodyText2"/>
      </w:pPr>
      <w:r>
        <w:t>In “The Institution as an Agency of Stability and Readjustment in Ethics,” James Hayden Tufts (1905–1906; 1914–1915; 1934–1935) argued that social institutions have been “a principal factor in [the] moral advance” of humanity (4:295). They play this role in helping to conserve what has been learned through experience. In this way, an institution “brings a sense of direction, and organizes impulses, habits, and collective strength to deal with the situation or conflict” (4:296).</w:t>
      </w:r>
    </w:p>
    <w:p>
      <w:pPr>
        <w:spacing w:line="240" w:lineRule="auto"/>
        <w:widowControl/>
        <w:pStyle w:val="BodyText2"/>
      </w:pPr>
      <w:r>
        <w:t xml:space="preserve">However, Tufts’s was not an abstract or sterile discussion. He explicitly made his comments on the importance of social institutions in the context of: </w:t>
      </w:r>
    </w:p>
    <w:p>
      <w:pPr>
        <w:ind w:left="446"/>
        <w:spacing w:before="100" w:beforeAutospacing="0" w:after="100" w:afterAutospacing="0" w:line="240" w:lineRule="auto"/>
        <w:widowControl/>
        <w:pStyle w:val="blockquote"/>
        <w:tabs>
          <w:tab w:val="clear" w:pos="215"/>
        </w:tabs>
      </w:pPr>
      <w:r>
        <w:t xml:space="preserve">the ever-present threat of war manifest in increasing expenditure for armament by all the great powers and not least by our own nation, and the virtual suspension of free inquiry and discussion in three of the great nations of Europe. (4:297) </w:t>
      </w:r>
    </w:p>
    <w:p>
      <w:pPr>
        <w:spacing w:line="240" w:lineRule="auto"/>
        <w:widowControl/>
        <w:pStyle w:val="BodyText"/>
      </w:pPr>
      <w:r>
        <w:t xml:space="preserve">It is these social institutions, Tufts believed, that would be part of the bulwark against the rising tide of Fascism and totalitarianism. A year later, Edwin Thomas Mitchell (1935–1936) would deliver his address on a similar topic, focusing particularly on the role of law in society. </w:t>
      </w:r>
    </w:p>
    <w:p>
      <w:pPr>
        <w:spacing w:line="240" w:lineRule="auto"/>
        <w:widowControl/>
        <w:pStyle w:val="BodyText2"/>
      </w:pPr>
      <w:r>
        <w:t xml:space="preserve">Mitchell’s “Social Ideals and the Law,” was unusual among the others of his decade in that it focused exclusively on the “ancient and honorable alliance between philosophy and the law” (4:389). Defending a vaguely pragmatist position, he claimed that underlying his account of ideals and their role in society is Dewey’s thought. Mitchell’s position on ideals, their function in society, and embodiment in politics and law, has distinct Hegelian overtones. However, he concluded by noting, “the philosophy that is here suggested, but left only as a suggestion, is a dynamic idealism whose central feature is not the Hegelian </w:t>
      </w:r>
      <w:r>
        <w:rPr>
          <w:i/>
        </w:rPr>
        <w:t>Idee</w:t>
      </w:r>
      <w:r>
        <w:t xml:space="preserve">, but commonplace ideals” (4:402). </w:t>
      </w:r>
    </w:p>
    <w:p>
      <w:pPr>
        <w:spacing w:line="240" w:lineRule="auto"/>
        <w:widowControl/>
        <w:pStyle w:val="BodyText2"/>
      </w:pPr>
      <w:r>
        <w:t>By the term “ideal,” Mitchell meant “whatever is before the mind when we envisage the better self or the better community” (4:398). Ideals are finite, but have persuasive force. Though he made no explicit reference to the rising tide of Fascism and totalitarianism in Europe and Asia at that time, his conception of ideals and their function in democracy seemed quite apt. The struggle between democracy and Fascism was, in many ways, a struggle between competing ideals. This is even more explicitly evident in “History as the Struggle for Social Values,” given by Joseph Alexander Leighton (1937–1938) two years later (4:513–541).</w:t>
      </w:r>
    </w:p>
    <w:p>
      <w:pPr>
        <w:spacing w:line="240" w:lineRule="auto"/>
        <w:widowControl/>
        <w:pStyle w:val="BodyText2"/>
      </w:pPr>
      <w:r>
        <w:t>Leighton’s early writings had focused on metaphysical and theological problems under the influence of Bernard Bosanquet, Royce, and the German Idealists, but he moved away from this toward more objectivistic and empirical viewpoints.</w:t>
      </w:r>
      <w:r>
        <w:rPr>
          <w:rStyle w:val="EndnoteReference"/>
        </w:rPr>
        <w:endnoteReference w:id="98"/>
      </w:r>
      <w:r>
        <w:t xml:space="preserve"> His address reflected both his interest in idealism and in historical and cultural interpretation. However, like Mitchell, Leighton had largely left his Hegelian origins behind. He began by rejecting three views that align the development of human culture with “cosmic evolution”: </w:t>
      </w:r>
    </w:p>
    <w:p>
      <w:pPr>
        <w:ind w:left="446"/>
        <w:spacing w:before="100" w:beforeAutospacing="0" w:after="100" w:afterAutospacing="0" w:line="240" w:lineRule="auto"/>
        <w:widowControl/>
        <w:pStyle w:val="blockquote"/>
        <w:tabs>
          <w:tab w:val="clear" w:pos="215"/>
        </w:tabs>
      </w:pPr>
      <w:r>
        <w:t xml:space="preserve">First, Herbert Spencer’s unilinear theory of evolutionary progress; second, Bergson’s theory; and third, the theory of emergent evolution. We may call these respectively the unilinear-ascent theory, the jumpy theory, and the step-wise pyramidal theory. (4:515) </w:t>
      </w:r>
    </w:p>
    <w:p>
      <w:pPr>
        <w:spacing w:line="240" w:lineRule="auto"/>
        <w:widowControl/>
        <w:pStyle w:val="BodyText"/>
      </w:pPr>
      <w:r>
        <w:t xml:space="preserve">Unfortunately, I found Leighton’s analysis to be poorly developed and, as a result, ultimately more assertion than argument. </w:t>
      </w:r>
    </w:p>
    <w:p>
      <w:pPr>
        <w:spacing w:line="240" w:lineRule="auto"/>
        <w:widowControl/>
        <w:pStyle w:val="BodyText2"/>
      </w:pPr>
      <w:r>
        <w:t xml:space="preserve">What is interesting to see is the sense in which Leighton’s discussion of history and evolution were set within the context of discussions and debates over the trajectory of human civilization. His address represents a sensitive defense of the importance of liberal democracy against the rising tide of totalitarianism. Indeed, his address was a literal call to arms: </w:t>
      </w:r>
    </w:p>
    <w:p>
      <w:pPr>
        <w:ind w:left="446"/>
        <w:spacing w:before="100" w:beforeAutospacing="0" w:after="100" w:afterAutospacing="0" w:line="240" w:lineRule="auto"/>
        <w:widowControl/>
        <w:pStyle w:val="blockquote"/>
        <w:tabs>
          <w:tab w:val="clear" w:pos="215"/>
        </w:tabs>
      </w:pPr>
      <w:r>
        <w:t>If liberal democracy is to be saved and go forward, it must be through the leadership of the United States and the youthful British Dominions and the lesser free countries. It is time to stop talking about mere ideologies. The fascist ideologies are arming to the teeth and successfully levying blackmail. (4:532)</w:t>
      </w:r>
    </w:p>
    <w:p>
      <w:pPr>
        <w:spacing w:line="240" w:lineRule="auto"/>
        <w:widowControl/>
        <w:pStyle w:val="BodyText2"/>
      </w:pPr>
      <w:r>
        <w:t>Leighton is characteristic of those who, at the time, argued that a Hegelian idea of the state justified the subordination of the individual to the community. Apparently, Hegelian idealism was being used to provide intellectual defense of Fascism and totalitarianism in Germany:</w:t>
      </w:r>
    </w:p>
    <w:p>
      <w:pPr>
        <w:ind w:left="446"/>
        <w:spacing w:before="100" w:beforeAutospacing="0" w:after="100" w:afterAutospacing="0" w:line="240" w:lineRule="auto"/>
        <w:widowControl/>
        <w:pStyle w:val="blockquote"/>
        <w:tabs>
          <w:tab w:val="clear" w:pos="215"/>
        </w:tabs>
      </w:pPr>
      <w:r>
        <w:t>If we accept the Hegelian idea of the state, then there is no place for liberty or democracy (which to me are two aspects of the same social principles). For then the state is the omnicompetent community—the Mortal God. (4:532)</w:t>
      </w:r>
    </w:p>
    <w:p>
      <w:pPr>
        <w:spacing w:line="240" w:lineRule="auto"/>
        <w:widowControl/>
        <w:pStyle w:val="BodyText"/>
      </w:pPr>
      <w:r>
        <w:t xml:space="preserve">I suspect that Hegelians will take issue with this characterization, but as a characterization of the view of Hegel’s intellectual influence in Germany, it reflected what appears to have been a common concern at the time among Anglo-American philosophers. </w:t>
      </w:r>
    </w:p>
    <w:p>
      <w:pPr>
        <w:spacing w:line="240" w:lineRule="auto"/>
        <w:widowControl/>
        <w:pStyle w:val="BodyText2"/>
      </w:pPr>
      <w:r>
        <w:t>In supposed opposition to this Hegelian idealism, Leighton spoke eloquently of the role of society and the relationship of the individual thereto. The individual, he argued, is not a cell within the body of the state, wholly reducible to it. Society does not progress by consuming and subordinating the individuals that comprise it. This seems to partially be behind his rejection of a panorganicism: “The denial of the intrinsic value of the human personality involves the rejection of any universally valid values” (4:534).</w:t>
      </w:r>
    </w:p>
    <w:p>
      <w:pPr>
        <w:spacing w:line="240" w:lineRule="auto"/>
        <w:widowControl/>
        <w:pStyle w:val="BodyText2"/>
      </w:pPr>
      <w:r>
        <w:t xml:space="preserve">Most striking of all is the extent to which Leighton argued for the moral responsibility of philosophy teachers to become engaged in the war as teachers: </w:t>
      </w:r>
    </w:p>
    <w:p>
      <w:pPr>
        <w:ind w:left="446"/>
        <w:spacing w:before="100" w:beforeAutospacing="0" w:after="100" w:afterAutospacing="0" w:line="240" w:lineRule="auto"/>
        <w:widowControl/>
        <w:pStyle w:val="blockquote"/>
        <w:tabs>
          <w:tab w:val="clear" w:pos="215"/>
        </w:tabs>
      </w:pPr>
      <w:r>
        <w:t>Democracy is emerging in one of the most momentous secular crises in the history of culture. On us teachers falls, I think, a heavy share of the burden of democracy. If the confusion continues, and some rabble-rouser, greedy for power, arises, we may all be either shut up or shot. If you think this is unduly alarming, consider the case of Germany. We are primarily teachers, and our field offers peculiar opportunities for us to bear witness to our faith in civic and spiritual freedom, to be achieved only through coöperation for the equalization of opportunity and the diffusion of the light of social intelligence. (4:539)</w:t>
      </w:r>
    </w:p>
    <w:p>
      <w:pPr>
        <w:spacing w:line="240" w:lineRule="auto"/>
        <w:widowControl/>
        <w:pStyle w:val="BodyText2"/>
      </w:pPr>
      <w:r>
        <w:t>Leighton’s moving words bring to life the depth of existential uncertainty that gripped the world at that point in time. What the result of the struggle between democracy and Fascism would be was not at all clear. He not only called for his fellow philosophers to throw off their “owlish habit” but even called outright for America to enter the war:</w:t>
      </w:r>
    </w:p>
    <w:p>
      <w:pPr>
        <w:ind w:left="446"/>
        <w:spacing w:before="100" w:beforeAutospacing="0" w:after="100" w:afterAutospacing="0" w:line="240" w:lineRule="auto"/>
        <w:widowControl/>
        <w:pStyle w:val="blockquote"/>
        <w:tabs>
          <w:tab w:val="clear" w:pos="215"/>
        </w:tabs>
      </w:pPr>
      <w:r>
        <w:t>To say that we Americans have no responsibility and freedom of choice in this hour of decision is a counsel of cowardice and despair. . . . I believe that you and I and all of us are confronted with the challenge to choose whether we shall knuckle down to tyranny controlled by demonic powers or march forward with resolute wills towards the dawn of an earth of worthy and comradely persons—a world set free. (4:540)</w:t>
      </w:r>
    </w:p>
    <w:p>
      <w:pPr>
        <w:spacing w:line="240" w:lineRule="auto"/>
        <w:widowControl/>
        <w:pStyle w:val="BodyText2"/>
      </w:pPr>
      <w:r>
        <w:t xml:space="preserve">In Glenn Raymond Morrow’s (1939–1940; 1953–1954) “Plato and the Rule of Law,” delivered in 1940, we have among the most explicit engagement between philosophy and the terrible events gripping Europe. Morrow’s task, one I suspect that would hardly occur to a contemporary audience, was to consider whether Plato’s conception of the state could be used to defend and justify the Third Reich. Morrow cited a story in the </w:t>
      </w:r>
      <w:r>
        <w:rPr>
          <w:i/>
        </w:rPr>
        <w:t>New York Times</w:t>
      </w:r>
      <w:r>
        <w:t xml:space="preserve"> that quoted a Russian professor who suggested that Plato was “the founder of Fascism,” as well as several American philosophers who concurred with the assessment, claiming that </w:t>
      </w:r>
      <w:r>
        <w:rPr>
          <w:i/>
        </w:rPr>
        <w:t xml:space="preserve">Republic </w:t>
      </w:r>
      <w:r>
        <w:t>was the “‘original philosophical charter of Fascism’ and ‘one of the most dangerous items in the education of the Western world’” (4:635).</w:t>
      </w:r>
    </w:p>
    <w:p>
      <w:pPr>
        <w:spacing w:line="240" w:lineRule="auto"/>
        <w:widowControl/>
        <w:pStyle w:val="BodyText2"/>
      </w:pPr>
      <w:r>
        <w:t xml:space="preserve">Morrow was interested to examine whether the association of Plato and Fascism is justified. There is a long-running debate over whether and how to understand the political views outlined in </w:t>
      </w:r>
      <w:r>
        <w:rPr>
          <w:i/>
        </w:rPr>
        <w:t>Republic</w:t>
      </w:r>
      <w:r>
        <w:t xml:space="preserve">, and there is good reason to believe that </w:t>
      </w:r>
      <w:r>
        <w:rPr>
          <w:i/>
        </w:rPr>
        <w:t>Republic</w:t>
      </w:r>
      <w:r>
        <w:t xml:space="preserve"> is better read as a treatise on human psychology and morality than as a blueprint for social organization.</w:t>
      </w:r>
    </w:p>
    <w:p>
      <w:pPr>
        <w:spacing w:line="240" w:lineRule="auto"/>
        <w:widowControl/>
        <w:pStyle w:val="BodyText2"/>
      </w:pPr>
      <w:r>
        <w:t>Morrow noted that when Plato tried his hand in practical politics in Sicily:</w:t>
      </w:r>
    </w:p>
    <w:p>
      <w:pPr>
        <w:ind w:left="446"/>
        <w:spacing w:before="100" w:beforeAutospacing="0" w:after="100" w:afterAutospacing="0" w:line="240" w:lineRule="auto"/>
        <w:widowControl/>
        <w:pStyle w:val="blockquote"/>
        <w:tabs>
          <w:tab w:val="clear" w:pos="215"/>
        </w:tabs>
      </w:pPr>
      <w:r>
        <w:t xml:space="preserve">the advice he gave the young Dion does not seem to have been a counsel of absolutism. According to the </w:t>
      </w:r>
      <w:r>
        <w:rPr>
          <w:i/>
        </w:rPr>
        <w:t>Seventh Letter</w:t>
      </w:r>
      <w:r>
        <w:t xml:space="preserve">, the chief reform he urged upon Dion, and later upon the young Dionysius, was to restore the constitution of Syracuse, which had fallen into abeyance during the tyranny: in short, to replace absolutism with a government of laws. (4:635–636). </w:t>
      </w:r>
    </w:p>
    <w:p>
      <w:pPr>
        <w:spacing w:line="240" w:lineRule="auto"/>
        <w:widowControl/>
        <w:pStyle w:val="BodyText"/>
      </w:pPr>
      <w:r>
        <w:t>Plato’s council in Sicily and its relationship to what he defended in Republic is still a matter of contention among scholars.</w:t>
      </w:r>
    </w:p>
    <w:p>
      <w:pPr>
        <w:spacing w:line="240" w:lineRule="auto"/>
        <w:widowControl/>
        <w:pStyle w:val="BodyText2"/>
      </w:pPr>
      <w:r>
        <w:t xml:space="preserve">However, as Morrow noted, the </w:t>
      </w:r>
      <w:r>
        <w:rPr>
          <w:i/>
        </w:rPr>
        <w:t>Republic</w:t>
      </w:r>
      <w:r>
        <w:t xml:space="preserve"> is not the only work that Plato wrote on politics. Instead of focusing on the </w:t>
      </w:r>
      <w:r>
        <w:rPr>
          <w:i/>
        </w:rPr>
        <w:t>Republic</w:t>
      </w:r>
      <w:r>
        <w:t xml:space="preserve">, Morrow asked, “What did Plato mean by the rule of law?” in the context of </w:t>
      </w:r>
      <w:r>
        <w:rPr>
          <w:i/>
        </w:rPr>
        <w:t xml:space="preserve">Laws </w:t>
      </w:r>
      <w:r>
        <w:t xml:space="preserve">(4:636). </w:t>
      </w:r>
    </w:p>
    <w:p>
      <w:pPr>
        <w:spacing w:line="240" w:lineRule="auto"/>
        <w:widowControl/>
        <w:pStyle w:val="BodyText2"/>
      </w:pPr>
      <w:r>
        <w:t xml:space="preserve">To make an interesting and compelling discussion all too short, Morrow concluded, “whatever he may have believed when he wrote the </w:t>
      </w:r>
      <w:r>
        <w:rPr>
          <w:i/>
        </w:rPr>
        <w:t>Republic</w:t>
      </w:r>
      <w:r>
        <w:t xml:space="preserve">, in his later years Plato would not have agreed even in theory with the advocates of power untrammeled by law” (4:636). Rather, Plato came to defend a state in which the law is sovereign over the rulers, who were themselves servants of the law (4:649). As we would say in America, no one is above the law. Thus, Morrow convincingly demonstrated that those who sought to defend Fascism would have to look to someone other than Plato to establish its intellectual legitimacy. </w:t>
      </w:r>
    </w:p>
    <w:p>
      <w:pPr>
        <w:spacing w:line="240" w:lineRule="auto"/>
        <w:widowControl/>
        <w:pStyle w:val="BodyText2"/>
      </w:pPr>
      <w:r>
        <w:t xml:space="preserve">It is gratifying to see that a philosopher of Morrow’s ability and stature used the opportunity of his presidential address to discuss matters of such grave concern to the world. After all, just months before he gave his address, Nazi Germany and Stalinist Soviet Union had invaded Poland, starting World War II. </w:t>
      </w:r>
    </w:p>
    <w:p>
      <w:pPr>
        <w:spacing w:line="240" w:lineRule="auto"/>
        <w:widowControl/>
        <w:pStyle w:val="BodyText2"/>
      </w:pPr>
      <w:r>
        <w:t xml:space="preserve">In “Human Nature and the Present Crisis,” Edward Octavius Sisson (1939–1940) dedicated the entirety of his address to the war that “touches every one of us, not only as men and women, but particularly as philosophers” (4:615). For those of us born decades after the successful end of World War II—especially given how utterly different (lacking) are the demands made on most citizens by twenty-first century modern wars such as those in Iraq and Afghanistan—it is difficult, if not impossible, to understand the depth of the existential threat posed by Hitler, Stalin, Mussolini, and Hideki Tojo. On 29 December 1939, when Sisson spoke, the horrors of the war were just starting to unfold: </w:t>
      </w:r>
    </w:p>
    <w:p>
      <w:pPr>
        <w:ind w:left="446"/>
        <w:spacing w:before="100" w:beforeAutospacing="0" w:after="100" w:afterAutospacing="0" w:line="240" w:lineRule="auto"/>
        <w:widowControl/>
        <w:pStyle w:val="blockquote"/>
        <w:tabs>
          <w:tab w:val="clear" w:pos="215"/>
          <w:tab w:val="left" w:pos="1890" w:leader="none"/>
        </w:tabs>
      </w:pPr>
      <w:r>
        <w:t>Straining my perception of what is now in process and my imagination of what may come to pass, taking the most adequate overview I can command, without hesitation I set what may be epitomized as democracy, or the American Dream, to use a more sentimental expression, against the nightmare which now rides the storm in Europe and perhaps most of the rest of the world. (4:615)</w:t>
      </w:r>
    </w:p>
    <w:p>
      <w:pPr>
        <w:spacing w:line="240" w:lineRule="auto"/>
        <w:widowControl/>
        <w:pStyle w:val="BodyText"/>
      </w:pPr>
      <w:r>
        <w:t>“I do not think I know which side will win,” Sisson admitted baldly. Even more telling, he continued, “still more, I admit, or rather definitely insist, that I do not know which doctrine is ultimately true” (4:615). The doctrines of which he spoke and the crises to which he alluded concerned not just the outcome of the brutal war in Europe and the Pacific:</w:t>
      </w:r>
    </w:p>
    <w:p>
      <w:pPr>
        <w:ind w:left="446"/>
        <w:spacing w:before="100" w:beforeAutospacing="0" w:after="100" w:afterAutospacing="0" w:line="240" w:lineRule="auto"/>
        <w:widowControl/>
        <w:pStyle w:val="blockquote"/>
        <w:tabs>
          <w:tab w:val="clear" w:pos="215"/>
        </w:tabs>
      </w:pPr>
      <w:r>
        <w:t>The final adjudication in both actuality and theory hangs upon that vast question which Kant proposes as the total subject-matter of philosophy: “What is Man?” On that ultimate query too, I am compelled to recognize that I do not know. (4:615)</w:t>
      </w:r>
    </w:p>
    <w:p>
      <w:pPr>
        <w:spacing w:line="240" w:lineRule="auto"/>
        <w:widowControl/>
        <w:pStyle w:val="BodyText2"/>
      </w:pPr>
      <w:r>
        <w:t xml:space="preserve">Sisson’s not immodest goal was to respond to “that most astounding of all things in the form of print, </w:t>
      </w:r>
      <w:r>
        <w:rPr>
          <w:i/>
        </w:rPr>
        <w:t>Mein Kampf</w:t>
      </w:r>
      <w:r>
        <w:t xml:space="preserve"> (4:616), by defending “the view of man and of human life” called democracy (4:616). Like Socrates, who, at the opening of </w:t>
      </w:r>
      <w:r>
        <w:rPr>
          <w:i/>
        </w:rPr>
        <w:t>Apology</w:t>
      </w:r>
      <w:r>
        <w:t xml:space="preserve">, noted that he must respond not merely to his new accusers, Meletus and Anytus, but first his old accusers, Sisson noted that there are two “violent attacks upon democracy today, one old and the other in a sense new” (4:617). The old attack, which was leveled by Plato himself against democracy, is that only the few are fit to govern and, “the preponderant mass are so inferior in intelligence and character that they must be governed without participating in the governing process themselves” (4:617). Like Sisson, I will not belabor the analysis of this old, but real argument against democracy. The new attackers are more interesting. </w:t>
      </w:r>
    </w:p>
    <w:p>
      <w:pPr>
        <w:spacing w:line="240" w:lineRule="auto"/>
        <w:widowControl/>
        <w:pStyle w:val="BodyText2"/>
      </w:pPr>
      <w:r>
        <w:t>For Sisson, the new challenge to the democratic idea was totalitarianism:</w:t>
      </w:r>
    </w:p>
    <w:p>
      <w:pPr>
        <w:ind w:left="446" w:firstLine="0"/>
        <w:spacing w:before="100" w:beforeAutospacing="0" w:after="100" w:afterAutospacing="0" w:line="240" w:lineRule="auto"/>
        <w:widowControl/>
        <w:pStyle w:val="BodyText2"/>
      </w:pPr>
      <w:r>
        <w:t>It is the doctrine that not the human individual, the person, but the State, is the supreme end of our world and its historic process. That the individual is not, or at best only in an inferior sense, consummatory, but rather instrumental. “The State is the march of God in the world.” (4:617)</w:t>
      </w:r>
    </w:p>
    <w:p>
      <w:pPr>
        <w:spacing w:line="240" w:lineRule="auto"/>
        <w:widowControl/>
        <w:pStyle w:val="BodyText"/>
      </w:pPr>
      <w:r>
        <w:t xml:space="preserve">The crux of the argument concerns, Sisson contended, one’s conception of human nature. He argued that the rise of totalitarianism was but the most virulent form of a historical trend toward corporate forms of being. Though he did little more than diagnose the problem, he keenly presented the problem with the trend toward “corporate dominance over the individual” (4:629). Interesting for those of us living in an age when the specter of tyranny and totalitarianism has largely retreated to the oil-rich corners of the globe, Sisson was not merely concerned with the political fight between democracy and totalitarianism: </w:t>
      </w:r>
    </w:p>
    <w:p>
      <w:pPr>
        <w:ind w:left="446"/>
        <w:spacing w:before="100" w:beforeAutospacing="0" w:after="100" w:afterAutospacing="0" w:line="240" w:lineRule="auto"/>
        <w:widowControl/>
        <w:pStyle w:val="blockquote"/>
        <w:tabs>
          <w:tab w:val="clear" w:pos="215"/>
        </w:tabs>
      </w:pPr>
      <w:r>
        <w:t>When I speak of the historical rôle I mean to include far more than the extreme or dramatic phases of autocratic governments and social orders and to include no less the pervasive control of the corporate in democratic regimes as well. And when I speak of culmination in our own day I refer not only to the terrific apparition of totalitarianism in Europe, but also to the growing corporate control of economic life in our own American society. (4:629)</w:t>
      </w:r>
    </w:p>
    <w:p>
      <w:pPr>
        <w:spacing w:line="240" w:lineRule="auto"/>
        <w:widowControl/>
        <w:pStyle w:val="BodyText"/>
      </w:pPr>
      <w:r>
        <w:t xml:space="preserve">Sisson’s concerns and objections were prescient indeed, now that corporations are bestowed legal rights once reserved for only persons. </w:t>
      </w:r>
    </w:p>
    <w:p>
      <w:pPr>
        <w:ind w:left="446"/>
        <w:spacing w:before="100" w:beforeAutospacing="0" w:after="100" w:afterAutospacing="0" w:line="240" w:lineRule="auto"/>
        <w:widowControl/>
        <w:pStyle w:val="blockquote"/>
        <w:tabs>
          <w:tab w:val="clear" w:pos="215"/>
        </w:tabs>
      </w:pPr>
      <w:r>
        <w:t>All the parables of Juggernauts and Frankensteins and Leviathans are inadequate to symbolize the devastating ruin of precious values which the concept seems to me certain to wreak, and which certainly we can see proceeding before our eyes. (4:629)</w:t>
      </w:r>
    </w:p>
    <w:p>
      <w:pPr>
        <w:spacing w:line="240" w:lineRule="auto"/>
        <w:widowControl/>
        <w:pStyle w:val="BodyText2"/>
      </w:pPr>
      <w:r>
        <w:t xml:space="preserve">The courage and candor of Leighton, Morrow, and Sisson are moving. Considering them as group, I cannot help but wonder whether current APA presidents are sufficiently concerned to address the problems of our day. True, thankfully, we are not immanently confronted with the threat posed by a world war, the arguably inflated rhetoric of the “war on terror” notwithstanding. However, this is not to say that there are not serious crises that threaten the very existence of civilization. </w:t>
      </w:r>
    </w:p>
    <w:p>
      <w:pPr>
        <w:spacing w:line="240" w:lineRule="auto"/>
        <w:widowControl/>
        <w:pStyle w:val="BodyText2"/>
      </w:pPr>
      <w:r>
        <w:t>The question for those of us today, indeed the question for philosophers of each age, is to ask what the defining threats and challenges of our age are. When I look at the world and consider this question, I believe the answer may be that too many philosophers are neglecting their duty to address issues such as the immoral treatment of non-human animals, the genocidal pursuit of fossil fuels in the face of potentially catastrophic climate change, and the subordination of individuals, not to the fascist state, but to corporations and what many believe to be their obscenely wealthy owners.</w:t>
      </w:r>
    </w:p>
    <w:p>
      <w:pPr>
        <w:ind w:left="0" w:firstLine="0"/>
        <w:spacing w:before="60" w:beforeAutospacing="0" w:line="240" w:lineRule="auto"/>
        <w:jc w:val="left"/>
        <w:pStyle w:val="BodyText2"/>
      </w:pPr>
      <w:r>
        <w:t>Only those with the fortune of hindsight will be able to judge whether I am right in this estimation. If this time is like every other, and I believe that it is, then there are some contemporary issues that the myopia of the present utterly obscures, but on which future generations will judge us harshly. Philosophers have an obligation to take up their ancient Socratic task to rouse the lumbering horses of our civilization into considering what is most important.</w:t>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r>
        <w:rPr>
          <w:color w:val="0000FF"/>
          <w:u w:val="single"/>
        </w:rPr>
        <w:fldChar w:fldCharType="begin"/>
        <w:instrText xml:space="preserve"> HYPERLINK \l "TABLE_OF_CONTENTS" </w:instrText>
        <w:fldChar w:fldCharType="separate"/>
      </w:r>
      <w:r>
        <w:rPr>
          <w:color w:val="0000FF"/>
          <w:u w:val="single"/>
        </w:rPr>
        <w:t>Return to TOC</w:t>
        <w:fldChar w:fldCharType="end"/>
      </w:r>
    </w:p>
    <w:p>
      <w:pPr>
        <w:widowControl/>
        <w:pStyle w:val="Heading1"/>
        <w:rPr>
          <w:caps/>
        </w:rPr>
      </w:pPr>
      <w:r/>
      <w:bookmarkStart w:id="133" w:name="PHILOSOPHERS_DURING_WARTIME_AND_PEACETIM"/>
      <w:r>
        <w:t>PHILOSOPHERS DURING WARTIME AND PEACETIME</w:t>
      </w:r>
      <w:bookmarkEnd w:id="133"/>
      <w:r>
        <w:t>, 1941–1950</w:t>
      </w:r>
    </w:p>
    <w:p>
      <w:pPr>
        <w:spacing w:after="160" w:afterAutospacing="0" w:line="240" w:lineRule="auto"/>
        <w:jc w:val="center"/>
        <w:pStyle w:val="BodyText"/>
        <w:rPr>
          <w:sz w:val="24"/>
        </w:rPr>
      </w:pPr>
      <w:r>
        <w:t>John R. Shook</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The tumultuous 1930s were gone but not forgotten. Academics were watching as war seemed to be returning Europe to savagery at the beginning of the 1940s, and they began pondering the destiny of their civilization. By 1941, the number of democratic countries in the world had dropped to thirteen, and only two counted among them as great powers.</w:t>
      </w:r>
      <w:r>
        <w:rPr>
          <w:rStyle w:val="EndnoteReference"/>
        </w:rPr>
        <w:endnoteReference w:id="99"/>
      </w:r>
      <w:r>
        <w:t xml:space="preserve"> Yet America seemed unwilling to defend England, much less Europe, or any other continent, from totalitarianism and military dictatorship. </w:t>
      </w:r>
    </w:p>
    <w:p>
      <w:pPr>
        <w:spacing w:line="240" w:lineRule="auto"/>
        <w:widowControl/>
        <w:pStyle w:val="BodyText2"/>
      </w:pPr>
      <w:r>
        <w:t>Would autocracy be the actual fate of Western civilization, and all civilizations? If philosophy could truly speak to fundamental matters of universal concern, now was the time.</w:t>
      </w:r>
    </w:p>
    <w:p>
      <w:pPr>
        <w:spacing w:before="100" w:beforeAutospacing="0" w:after="100" w:afterAutospacing="0"/>
        <w:jc w:val="center"/>
        <w:pStyle w:val="NoSpacing"/>
      </w:pPr>
      <w:r>
        <w:rPr>
          <w:b/>
        </w:rPr>
        <w:t>2. The Stage Prepared</w:t>
      </w:r>
    </w:p>
    <w:p>
      <w:pPr>
        <w:spacing w:line="240" w:lineRule="auto"/>
        <w:widowControl/>
        <w:pStyle w:val="BodyText"/>
      </w:pPr>
      <w:r>
        <w:t>The generation of The American Philosophical Association (The APA) presidents who served during the 1940s, almost all born between 1884 and 1900, had experienced World War I and then the Great Depression during the first half of their careers. Entering seniority and leadership positions during the 1940s seemed inauspicious by comparison. To whom could they turn for examples of steadfast wisdom? Many among this generation had been influenced by pragmatism or progressivism, or their combination. Yet their champion, John Dewey (1905–1906), was determined to take an isolationist stance, exemplified by his March 1939 editorial in titled, “No Matter What Happens—Stay Out.”</w:t>
      </w:r>
      <w:r>
        <w:rPr>
          <w:rStyle w:val="EndnoteReference"/>
        </w:rPr>
        <w:endnoteReference w:id="100"/>
      </w:r>
      <w:r>
        <w:t xml:space="preserve"> </w:t>
      </w:r>
    </w:p>
    <w:p>
      <w:pPr>
        <w:spacing w:line="240" w:lineRule="auto"/>
        <w:widowControl/>
        <w:pStyle w:val="BodyText2"/>
        <w:tabs>
          <w:tab w:val="left" w:pos="2070" w:leader="none"/>
        </w:tabs>
      </w:pPr>
      <w:r>
        <w:t>On 7 December 1941, Dewey looked out upon Cooper Union’s crowded auditorium, eager to hear his scheduled talk, “Lessons from the War in Philosophy.”</w:t>
      </w:r>
      <w:r>
        <w:rPr>
          <w:rStyle w:val="EndnoteReference"/>
        </w:rPr>
        <w:endnoteReference w:id="101"/>
      </w:r>
      <w:r>
        <w:t xml:space="preserve"> If the people of New York knew that this planned session was gathered to discuss World War I, they didn’t care, as that day’s news from Pearl Harbor filled their thoughts. However, Dewey refused to say anything about the new war, and said that philosophy cannot guide unfolding events or usefully judge them afterwards.</w:t>
      </w:r>
      <w:r>
        <w:rPr>
          <w:rStyle w:val="EndnoteReference"/>
        </w:rPr>
        <w:endnoteReference w:id="102"/>
      </w:r>
      <w:r>
        <w:t xml:space="preserve"> What use was pragmatism as a public philosophy? </w:t>
      </w:r>
    </w:p>
    <w:p>
      <w:pPr>
        <w:spacing w:line="240" w:lineRule="auto"/>
        <w:widowControl/>
        <w:pStyle w:val="BodyText2"/>
      </w:pPr>
      <w:r>
        <w:t xml:space="preserve">Few philosophers defended pragmatism after episodes like that. Only Dewey’s student, Herbert Wallace Schneider (1948–1949), stands out as a progressive and cosmopolitan leader among this decade’s presidents, and he made his own greatest impact on world affairs during the 1950s and 1960s. In all fairness, the other schools of philosophy in America were not much help either. Idealism had been dominant for several decades, but the great idealists had all left the scene due retirement or death by 1940. The rationalist and relationalist personalisms of (Percy) Brand Blanshard (1942–1945) and Charles Hartshorne (1948–1949) were philosophically impressive yet politically impotent. The only other president from the 1940s of much note, Hans Reichenbach (1947–1948), was the first representative of logical empiricism to be so honored, and the first of many from that analytic genre to ignore social and political values altogether in a presidential address. </w:t>
      </w:r>
    </w:p>
    <w:p>
      <w:pPr>
        <w:spacing w:line="240" w:lineRule="auto"/>
        <w:widowControl/>
        <w:pStyle w:val="BodyText2"/>
      </w:pPr>
      <w:r>
        <w:t>Excepting only Schneider, Blanshard, Hartshorne, and Hans Reichenbach (1947–1948), none of the other presidents who served during the 1940s were great expositors of their schools of thought. They comprise an undistinguished assembly, to be blunt. They were exemplary figures in their discipline for academic expertise and thoughtful scholarship, but beyond the merits to their instruction and erudition, little of consequence survives. This group mostly counted among that “Lost Generation” that came of age during World War I—fated to fall “in between”: both too late and then too early, not quite card-carrying endorsers of world-shaking ideologies and worldviews, only borrowing from philosophical systems around them as best they could. The best among them were syncretic, while the rest were at most eclectic. All of them were destined to be front and center for a global stage of conflict and carnage unworthy of any generation.</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3. Philosophers in Wartime</w:t>
      </w:r>
    </w:p>
    <w:p>
      <w:pPr>
        <w:spacing w:line="240" w:lineRule="auto"/>
        <w:widowControl/>
        <w:pStyle w:val="BodyText"/>
      </w:pPr>
      <w:r>
        <w:t xml:space="preserve">Charles William Hendel (1940–1941) delivered his “Reflections on the Spirit of Man” in December 1940, as Europe’s new war raged. He used that backdrop of death and destruction to point the finger of blame on materialism and its resignation to the proposition that might makes right. Materialism can stay busy tracking the shifting tides of strength, making predictions about which side may win, but materialism must be unable or uninterested in knowing which side should win. Materialism breeds cynicism and quietism: </w:t>
      </w:r>
    </w:p>
    <w:p>
      <w:pPr>
        <w:ind w:left="446"/>
        <w:spacing w:before="100" w:beforeAutospacing="0" w:after="100" w:afterAutospacing="0" w:line="240" w:lineRule="auto"/>
        <w:widowControl/>
        <w:pStyle w:val="blockquote"/>
        <w:tabs>
          <w:tab w:val="clear" w:pos="215"/>
        </w:tabs>
      </w:pPr>
      <w:r>
        <w:t xml:space="preserve">There is a dispiriting view of history and humanity in the world today. The present phenomenon in human affairs is seen simply as another instance of the rise and fall of empires. It is the age-old shifting of power from some nations possessed of it to others that are not. (5:3) </w:t>
      </w:r>
    </w:p>
    <w:p>
      <w:pPr>
        <w:spacing w:line="240" w:lineRule="auto"/>
        <w:widowControl/>
        <w:pStyle w:val="BodyText"/>
      </w:pPr>
      <w:r>
        <w:t xml:space="preserve">Worst of all, this spectator stance toward events on a global stage loses sight of individual people trying to know right and wrong, and who are fighting for the good and the true. The importance of the human spirit fades away, when all we look to is how much control can be exerted over nature’s fruits and how much control humanity can exert over itself. </w:t>
      </w:r>
    </w:p>
    <w:p>
      <w:pPr>
        <w:spacing w:line="240" w:lineRule="auto"/>
        <w:widowControl/>
        <w:pStyle w:val="BodyText2"/>
      </w:pPr>
      <w:r>
        <w:t>Much was promised by the “scientific” spirit of inquiry and technology to make life better. Much was promised by a philosophy of technology applied to humankind itself. Hendel’s generation, spellbound by a fresh violent application of technology, seems enthralled by a philosophy that materialized all values:</w:t>
      </w:r>
    </w:p>
    <w:p>
      <w:pPr>
        <w:ind w:left="446"/>
        <w:spacing w:before="100" w:beforeAutospacing="0" w:after="100" w:afterAutospacing="0" w:line="240" w:lineRule="auto"/>
        <w:widowControl/>
        <w:pStyle w:val="blockquote"/>
        <w:tabs>
          <w:tab w:val="clear" w:pos="215"/>
        </w:tabs>
      </w:pPr>
      <w:r>
        <w:t>For it is believed that man’s everlasting problem is that of adapting himself to the conditions of his physical environment and a social existence. Real needs such as food, clothing, shelter, sexual, and other necessities, these are what call the tune and supply the motifs of the dance of life. There is no real value in anything else, which we must consequently dismiss as absurdity and an impediment to progress. (5:10)</w:t>
      </w:r>
    </w:p>
    <w:p>
      <w:pPr>
        <w:spacing w:line="240" w:lineRule="auto"/>
        <w:widowControl/>
        <w:pStyle w:val="BodyText"/>
      </w:pPr>
      <w:r>
        <w:t xml:space="preserve">This pragmatic materialism accepts historical and cultural relativism, which demoralizes the masses and reduces elites to fatalistic impotency. The only figures empowered by that paralyzed social body are those “men of destiny,” as Hendel called them, who ignore lessons of history, feel certain that they ought to rule, and expect to write the history books. Hendel preferred the spiritualization of values, so that they are appreciated as timelessly and universally valid. Only then, he contended, could a different destiny be envisaged for free and dignified peoples establishing their own political orders and lasting civilizations. Whether the collisions among cultures and religions, each morally certain about its cosmic mission, are less violent than any materialistic war, Hendel did not pause to consider. </w:t>
      </w:r>
    </w:p>
    <w:p>
      <w:pPr>
        <w:spacing w:line="240" w:lineRule="auto"/>
        <w:widowControl/>
        <w:pStyle w:val="BodyText2"/>
      </w:pPr>
      <w:r>
        <w:t>America would soon enter World War II, and its educational institutions braced for the sweeping changes sure to arrive. The Congress on Education on Democracy, held in 1939 at Columbia University, was the occasion for President Roosevelt’s declaration, “education for democracy cannot merely be taken for granted. . . . That the schools make worthy citizens is the most important responsibility placed upon them.”</w:t>
      </w:r>
      <w:r>
        <w:rPr>
          <w:rStyle w:val="EndnoteReference"/>
        </w:rPr>
        <w:endnoteReference w:id="103"/>
      </w:r>
      <w:r>
        <w:t xml:space="preserve"> The philosophical question, “What is the pedagogy that truly makes worthy citizens?” went unanswered. </w:t>
      </w:r>
    </w:p>
    <w:p>
      <w:pPr>
        <w:spacing w:line="240" w:lineRule="auto"/>
        <w:widowControl/>
        <w:pStyle w:val="BodyText2"/>
      </w:pPr>
      <w:r>
        <w:t>In his address, “Pot Shots at Present Pedagogy,” Benjamin Apthorp Gould Fuller (1940–1941) could not foresee how the American university would be dramatically transformed before the decade was over, but he was quite sure that educational change had already gone too far. Like Hendel, Fuller faulted pragmatism, in the guise of “progressive education” (5:27). The best college experience should remain just as his own had been at Harvard forty years earlier—professors exemplifying scholarship in teaching more than publishing, curricula emphasizing humanistic and cosmopolitan values, very few electives, and small class sizes to liberalize the mind instead of large vocational courses to train the body. Progressive education prioritizes the most expansive accessibility of the masses to the narrowest of practical goals: functioning in an industrial and over-managed capitalist economy. All sense of history and perspective gets lost, and no one can properly evaluate, must less wisely judge, the great events of the present day. Progressive education can only adjust the individual to the present social situation; nowhere does anyone receive guidance about adjusting society to the enduring needs and rights of the individual. Fuller’s list of strident complaints was a prescient catalogue of every call of alarm over the “crisis in American education” heard during the rest of the twentieth century.</w:t>
      </w:r>
    </w:p>
    <w:p>
      <w:pPr>
        <w:spacing w:line="240" w:lineRule="auto"/>
        <w:widowControl/>
        <w:pStyle w:val="BodyText2"/>
      </w:pPr>
      <w:r>
        <w:t>Radoslav Andrea Tsanoff (1940–1941) also had the moral ideals of civilization on his mind, as evinced by a book on that theme that he published soon after delivering his presidential address, “Conviction and Tolerance.”</w:t>
      </w:r>
      <w:r>
        <w:rPr>
          <w:rStyle w:val="EndnoteReference"/>
        </w:rPr>
        <w:endnoteReference w:id="104"/>
      </w:r>
      <w:r>
        <w:t xml:space="preserve"> Divisive and inconclusive ethical theories seem unable to guide the moral conscience, if modern peoples should still be said to possess such a spiritual thing. Mere conviction becomes fanatically evil, so intelligent judgment must balance moral zeal, yet excessive intellectualizing tolerates too much and struggles too little. </w:t>
      </w:r>
    </w:p>
    <w:p>
      <w:pPr>
        <w:spacing w:line="240" w:lineRule="auto"/>
        <w:widowControl/>
        <w:pStyle w:val="BodyText2"/>
      </w:pPr>
      <w:r>
        <w:t xml:space="preserve">Tsanoff offered a different way to balance conviction and tolerance: remain loyal to one’s own moral convictions, yet respect the right of all others to that same devotion. The remaining danger is bland toleration of indifference, not caring what motivates others, which restrains us from hurting their feelings yet prevents us from taking them seriously. Invoking Josiah Royce (1903–1904), Tsanoff charged the loyal conscience with a higher duty to incorporate others’ view of the good into estimations of moral duty (5:74). The implication that there is no final discharge of duty, that what shall be morally right will develop into the future, represents the unification of conviction with tolerance. </w:t>
      </w:r>
    </w:p>
    <w:p>
      <w:pPr>
        <w:spacing w:line="240" w:lineRule="auto"/>
        <w:widowControl/>
        <w:pStyle w:val="BodyText2"/>
      </w:pPr>
      <w:r>
        <w:t xml:space="preserve">Grace Mead Andrus De Laguna (1941–1942), only the second woman president as of that date, delivered her address, “Cultural Relativism and Science,” just three weeks after the attack on Pearl Harbor. Perceiving the anti-pragmatist tenor among some philosophical colleagues, she staunchly defended empirical science in general and the social sciences in particular. Her career had been mildly favorable toward pragmatism and its grounds in the behavioral study of humanity. </w:t>
      </w:r>
    </w:p>
    <w:p>
      <w:pPr>
        <w:spacing w:line="240" w:lineRule="auto"/>
        <w:widowControl/>
        <w:pStyle w:val="BodyText2"/>
      </w:pPr>
      <w:r>
        <w:t>Psychology, ethnology, and anthropology appreciate cultural relativity only through their approaches to human universals permitting any culture at all. Science is not relativistic in spirit; neither must it be only concerned for the transient and expedient. It seeks to understand the natural order with tentative theories, unfettered by mythical or ideological dogmas. Invoking Dewey, De Laguna called for the scientific spirit to further pervade and unify a disjointed proto-culture labeled as “Western Civilization” (5:98).</w:t>
      </w:r>
    </w:p>
    <w:p>
      <w:pPr>
        <w:spacing w:line="240" w:lineRule="auto"/>
        <w:widowControl/>
        <w:pStyle w:val="BodyText2"/>
      </w:pPr>
      <w:r>
        <w:t xml:space="preserve">Cultural relativism can degenerate into a learned hopelessness that nothing can be done about inter-cultural conflicts. But the social sciences are still human sciences if conducted properly: understanding another culture, as a trained ethnologist can, demands a higher level of tolerance from a due respect for the dignity and merit to all forms of human life. The ethnologist’s home culture hardly fulfils that respect; the indigenous population under study may not even conceive of it. Where does it comes from, then? Cultural relativism cannot say, but the scientific spirit can: there is a universal order to be found across humanity’s cultural ways that can be appreciated in its own right, an order setting high humanistic standards of moral conduct owed all peoples, regardless of whether they too recognize that order. The sciences, thanks to that humanistic valuation of culture as culture wherever it flourishes, are elevated above mere relativism themselves, and enter into ownership by all humanity as a common possession and a common good. </w:t>
      </w:r>
    </w:p>
    <w:p>
      <w:pPr>
        <w:spacing w:line="240" w:lineRule="auto"/>
        <w:widowControl/>
        <w:pStyle w:val="BodyText2"/>
      </w:pPr>
      <w:r>
        <w:t xml:space="preserve">In “Materialism in Democracy—Democracy in Culture,” Ephraim Edward Ericksen (1941–1942) also invoked pragmatist Dewey along with William James (1905–1906) as he defended another social science, economics, as a noble search, not only for grounding individual rights, but also for the investigation of proper conditions of wider social cooperation. Mere competition as zero-sum conflict has never been the story of economic progress. Quite the opposite: the more that the economic spirit enervates a culture, the more each person’s eyes are lifted up toward opportunities to benefit large groups first and foremost. </w:t>
      </w:r>
    </w:p>
    <w:p>
      <w:pPr>
        <w:spacing w:line="240" w:lineRule="auto"/>
        <w:widowControl/>
        <w:pStyle w:val="BodyText2"/>
      </w:pPr>
      <w:r>
        <w:t xml:space="preserve">The individual has economic rights only to the extent that all do, a thoroughly democratic result on both practical and ideal levels. Ericksen called for economics to frankly acknowledge its principled spirit, forever displacing the notion that economics has nothing to say about social values. Only conservativism benefits from an economics chained to cold facts and iron laws, profiting from the dehumanization of citizens and the poverty of civic life. Calling for the socialization of industry is the opposite of government or corporate tyranny over labor; it is the only opportunity to foster the democratic experience of the people. Economics for a democratic culture should measure progress not in monetary terms, but by “the quality of human life and the sharing of what is best in human experience” (5:121). </w:t>
      </w:r>
    </w:p>
    <w:p>
      <w:pPr>
        <w:spacing w:line="240" w:lineRule="auto"/>
        <w:widowControl/>
        <w:pStyle w:val="BodyText2"/>
      </w:pPr>
      <w:r>
        <w:t xml:space="preserve">The December 1941 meetings of The APA were the last major gatherings of the association for several years. No academic conferences could be confidently scheduled or well attended between 1942 and 1945 because of wartime restrictions on travel; most buses, trains, and airplanes could not be spared for ordinary civilian use. </w:t>
      </w:r>
    </w:p>
    <w:p>
      <w:pPr>
        <w:spacing w:line="240" w:lineRule="auto"/>
        <w:widowControl/>
        <w:pStyle w:val="BodyText2"/>
      </w:pPr>
      <w:r>
        <w:t xml:space="preserve">Elijah Jordan (1941–1943) had been elected at the 1941 Western meeting, but could not attend, although he sent his undelivered 1942 presidential address, “Concerning Philosophy,” for the usual publication in </w:t>
      </w:r>
      <w:r>
        <w:rPr>
          <w:i/>
        </w:rPr>
        <w:t>Philosophical Review</w:t>
      </w:r>
      <w:r>
        <w:t>. Jordan evidently was in a severe mood, and targeted pragmatic materialism again for stern censure. His survey of modern philosophy treats it as a “monstrosity” deserving only the label of “atomistic mysticism” (5:130). The quest for universals was abandoned and being was forgotten:</w:t>
      </w:r>
    </w:p>
    <w:p>
      <w:pPr>
        <w:ind w:left="446"/>
        <w:spacing w:before="100" w:beforeAutospacing="0" w:after="100" w:afterAutospacing="0" w:line="240" w:lineRule="auto"/>
        <w:widowControl/>
        <w:pStyle w:val="blockquote"/>
        <w:tabs>
          <w:tab w:val="clear" w:pos="215"/>
        </w:tabs>
      </w:pPr>
      <w:r>
        <w:t xml:space="preserve">The fundamental fact that meets us now is a world in chaos, a cosmic chaos, a </w:t>
      </w:r>
      <w:r>
        <w:rPr>
          <w:i/>
        </w:rPr>
        <w:t>contradictio</w:t>
      </w:r>
      <w:r>
        <w:t xml:space="preserve"> </w:t>
      </w:r>
      <w:r>
        <w:rPr>
          <w:i/>
        </w:rPr>
        <w:t>in</w:t>
      </w:r>
      <w:r>
        <w:t xml:space="preserve"> </w:t>
      </w:r>
      <w:r>
        <w:rPr>
          <w:i/>
        </w:rPr>
        <w:t>substantia</w:t>
      </w:r>
      <w:r>
        <w:rPr>
          <w:vertAlign w:val="superscript"/>
        </w:rPr>
        <w:t xml:space="preserve"> </w:t>
      </w:r>
      <w:r>
        <w:t xml:space="preserve">[objection in nature] for which there is no description black enough. Falling into the pit of subjectivism has left us without a morality, no vestige of character remains. For a mess of garbage man has sold his soul to the business man, and the world of reality is sold out. So there is no obligation, for there is nothing to be responsible </w:t>
      </w:r>
      <w:r>
        <w:rPr>
          <w:i/>
        </w:rPr>
        <w:t>to</w:t>
      </w:r>
      <w:r>
        <w:t>. God died, and the world dissolved, when man found his destiny in himself. And the responsibility for the situation is philosophy’s. (5:142)</w:t>
      </w:r>
    </w:p>
    <w:p>
      <w:pPr>
        <w:spacing w:line="240" w:lineRule="auto"/>
        <w:widowControl/>
        <w:pStyle w:val="BodyText"/>
      </w:pPr>
      <w:r>
        <w:t>He then delivered a resolute verdict of condemnation upon empiricism and pragmatism as sobering as any:</w:t>
      </w:r>
    </w:p>
    <w:p>
      <w:pPr>
        <w:ind w:left="446"/>
        <w:spacing w:before="100" w:beforeAutospacing="0" w:after="100" w:afterAutospacing="0" w:line="240" w:lineRule="auto"/>
        <w:widowControl/>
        <w:pStyle w:val="blockquote"/>
        <w:tabs>
          <w:tab w:val="clear" w:pos="215"/>
        </w:tabs>
      </w:pPr>
      <w:r>
        <w:t>Our scientific thought has abandoned the search for the realities of existence, and has sought nothing but technical means and processes by which the realities and the values could be reduced to terms of our interests, forgetting that for interests there is neither substance nor law, neither reality nor value. And while we have in our egoistic stupidity insisted that the world should come to terms with our subjective purposes, the world has laughed in our face and has gone its own way, which is not the way that human wish or subjective motives would have it, but a way determined by its own inertia, and so leads to no end. And our refusal to see and follow the reality to the end that the reality be made conscious of its destiny has left us without a destiny. (5:142)</w:t>
      </w:r>
    </w:p>
    <w:p>
      <w:pPr>
        <w:spacing w:line="240" w:lineRule="auto"/>
        <w:widowControl/>
        <w:pStyle w:val="BodyText2"/>
      </w:pPr>
      <w:r>
        <w:t xml:space="preserve">Jordan’s sobering address was the last one received until World War II was ending. </w:t>
      </w:r>
    </w:p>
    <w:p>
      <w:pPr>
        <w:spacing w:line="240" w:lineRule="auto"/>
        <w:widowControl/>
        <w:pStyle w:val="BodyText2"/>
      </w:pPr>
      <w:r>
        <w:t xml:space="preserve">Daniel Sommer Robinson (1943–1944) was elected president of the Western Division at its 1942 meeting, but delivery of his address had to wait until the 1946 meeting. Donald Sage Mackay (1942–1943) did not deliver a 1942 presidential address either, as that Pacific Division meeting had been cancelled, as were the 1943 and 1944 meetings. Mackay’s paper, “The Illusion of Memory,” was sent to </w:t>
      </w:r>
      <w:r>
        <w:rPr>
          <w:i/>
        </w:rPr>
        <w:t>Philosophical Review</w:t>
      </w:r>
      <w:r>
        <w:t xml:space="preserve"> for publication in the summer of 1945. While Jordan longed for stable being, Mackay celebrated its departure. His observations on the specious psychological presence of the past lead him on to skeptical questions about the supposed indestructability of matter and the conservation of energy. No substrate of being is left, but only persistent patterns of relations for science to postulate and explore. </w:t>
      </w:r>
    </w:p>
    <w:p>
      <w:pPr>
        <w:spacing w:line="240" w:lineRule="auto"/>
        <w:widowControl/>
        <w:pStyle w:val="BodyText2"/>
      </w:pPr>
      <w:r>
        <w:t xml:space="preserve">Victor Fritz Lenzen (1943–1945), a popular professor of physics, was elected Pacific Division President by mail ballot in early 1943. However, since meeting cancellations persisted, his paper, “The Concept of Reality in Physical Theory,” was published in 1945. In it, he agreed about the scientific reliance upon theoretical constructions. He affirmed that physical space is “a form of relatedness of events,” a characterization that “leaves its structure undefined” (5:207). </w:t>
      </w:r>
    </w:p>
    <w:p>
      <w:pPr>
        <w:spacing w:line="240" w:lineRule="auto"/>
        <w:widowControl/>
        <w:pStyle w:val="BodyText2"/>
      </w:pPr>
      <w:r>
        <w:t>Blanshard was elected at the 1941 Eastern Division meeting held just weeks after Pearl Harbor. That meeting, anticipating the coming wartime strictures, agreed that officers may serve an additional year if necessary. Blanshard sent a letter to division members in 1943, asking if officers may serve a third year during 1944, since meetings and elections were still impractical; he received that consent. Blanshard was the only functioning president of The APA during the war years, holding his office from the December 1941 division meeting until spring of 1945, serving over three full years—by far the longest term of office of any president to date. His letter to the membership after the hoped-for meeting in February 1945 (again cancelled) included a call for an election of officers. He added, “we have held office longer, lived a more shadowy existence, and lived it in more shadowed times, than any other officers the Association has had. May that unenviable record remain unique!”</w:t>
      </w:r>
      <w:r>
        <w:rPr>
          <w:rStyle w:val="EndnoteReference"/>
        </w:rPr>
        <w:endnoteReference w:id="105"/>
      </w:r>
      <w:r>
        <w:t xml:space="preserve"> </w:t>
      </w:r>
    </w:p>
    <w:p>
      <w:pPr>
        <w:spacing w:line="240" w:lineRule="auto"/>
        <w:widowControl/>
        <w:pStyle w:val="BodyText2"/>
      </w:pPr>
      <w:r>
        <w:t xml:space="preserve">A mail ballot then elected William Kelley Wright (1945–1946) to the presidency in the spring of 1945. The publication of presidential addresses was delayed until mid-1945, and the first meeting of The APA to be held after the war was the Pacific Division’s meeting in December 1945. </w:t>
      </w:r>
    </w:p>
    <w:p>
      <w:pPr>
        <w:spacing w:line="240" w:lineRule="auto"/>
        <w:widowControl/>
        <w:pStyle w:val="BodyText2"/>
      </w:pPr>
      <w:r>
        <w:t xml:space="preserve">Philosophers were hardly silenced during the war, however, as articles in </w:t>
      </w:r>
      <w:r>
        <w:rPr>
          <w:i/>
        </w:rPr>
        <w:t>The Philosophical Review</w:t>
      </w:r>
      <w:r>
        <w:t xml:space="preserve"> and a few other philosophical journals were evidently inspired by current events. George Hartmann of Columbia University’s Teacher College obtained seventy-five replies from noteworthy philosophers across the country to a questionnaire on pacifism, publishing his summary as “The Strength and Weakness of the Pacifist Position as Seen by American Philosophers.”</w:t>
      </w:r>
      <w:r>
        <w:rPr>
          <w:rStyle w:val="EndnoteReference"/>
        </w:rPr>
        <w:endnoteReference w:id="106"/>
      </w:r>
      <w:r>
        <w:t xml:space="preserve"> </w:t>
      </w:r>
    </w:p>
    <w:p>
      <w:pPr>
        <w:spacing w:line="240" w:lineRule="auto"/>
        <w:widowControl/>
        <w:pStyle w:val="BodyText2"/>
      </w:pPr>
      <w:r>
        <w:t>Under Blanshard’s presidency, a handful of The APA committees carried on, and delegates were sent to participate in sporadic activities of the American Council of Learned Societies (ACLS). A report to the ACLS, “Philosophy in the United States 1939–1945,” was prepared by Edgar Sheffield Brightman (1936–1937) and later published in 1947.</w:t>
      </w:r>
      <w:r>
        <w:rPr>
          <w:rStyle w:val="EndnoteReference"/>
        </w:rPr>
        <w:endnoteReference w:id="107"/>
      </w:r>
      <w:r>
        <w:t xml:space="preserve"> Brightman made special mention of a major project of The APA, the Commission on the Function of Philosophy in Liberal Education, which was led by Blanshard and successfully conducted through small meetings in several states during the war despite travel difficulties. The Commission also received additional commentary from communications by postal mail. Blanshard submitted a lengthy report about that commentary with numerous excerpts from many philosophers, providing revealing insights about conflicting perspectives on philosophy’s continued relevance.</w:t>
      </w:r>
      <w:r>
        <w:rPr>
          <w:rStyle w:val="EndnoteReference"/>
        </w:rPr>
        <w:endnoteReference w:id="108"/>
      </w:r>
      <w:r>
        <w:t xml:space="preserve"> </w:t>
      </w:r>
    </w:p>
    <w:p>
      <w:pPr>
        <w:spacing w:line="240" w:lineRule="auto"/>
        <w:widowControl/>
        <w:pStyle w:val="BodyText2"/>
      </w:pPr>
      <w:r>
        <w:t xml:space="preserve">Later in 1945, Blanshard, along with Curt John Ducasse (1939–1940), Hendel, Arthur Edward Murphy (1950–1951), and Max Carl Otto (1929–1930) published a consequential volume of reflective essays titled </w:t>
      </w:r>
      <w:r>
        <w:rPr>
          <w:i/>
        </w:rPr>
        <w:t>Philosophy in American Education: Its Tasks and Opportunities</w:t>
      </w:r>
      <w:r>
        <w:t>.</w:t>
      </w:r>
      <w:r>
        <w:rPr>
          <w:rStyle w:val="EndnoteReference"/>
        </w:rPr>
        <w:endnoteReference w:id="109"/>
      </w:r>
      <w:r>
        <w:t xml:space="preserve"> Blanshard’s opening essay in that volume not only noted the rift still separating pragmatists from non-pragmatists over the value of metaphysics, but it also highlighted the growing chasm between those two camps and the camp of positivists, who entirely dismiss all treatment of values and ethics from philosophical consideration. </w:t>
      </w:r>
    </w:p>
    <w:p>
      <w:pPr>
        <w:spacing w:line="240" w:lineRule="auto"/>
        <w:widowControl/>
        <w:pStyle w:val="BodyText2"/>
      </w:pPr>
      <w:r>
        <w:t>Was this war within philosophy unresolvable?</w:t>
      </w:r>
    </w:p>
    <w:p>
      <w:pPr>
        <w:spacing w:before="100" w:beforeAutospacing="0" w:after="100" w:afterAutospacing="0"/>
        <w:jc w:val="center"/>
        <w:widowControl/>
        <w:rPr>
          <w:rFonts w:ascii="Times New Roman" w:hAnsi="Times New Roman" w:eastAsia="Times New Roman"/>
          <w:sz w:val="20"/>
          <w:b/>
          <w:color w:val="auto"/>
        </w:rPr>
      </w:pPr>
      <w:r>
        <w:rPr>
          <w:rFonts w:ascii="Times New Roman" w:hAnsi="Times New Roman" w:eastAsia="Times New Roman"/>
          <w:sz w:val="20"/>
          <w:b/>
          <w:color w:val="auto"/>
        </w:rPr>
        <w:t>4. Philosophy at War with Itself</w:t>
      </w:r>
    </w:p>
    <w:p>
      <w:pPr>
        <w:spacing w:line="240" w:lineRule="auto"/>
        <w:widowControl/>
        <w:pStyle w:val="BodyText"/>
      </w:pPr>
      <w:r>
        <w:t xml:space="preserve">Blanshard sent a presidential address, “Current Strictures on Reason,” for publication in </w:t>
      </w:r>
      <w:r>
        <w:rPr>
          <w:i/>
        </w:rPr>
        <w:t>The Philosophical Review</w:t>
      </w:r>
      <w:r>
        <w:t xml:space="preserve">, in 1945. Recalling how he had started this paper’s composition in late 1942, he tried to revive memories of how fragile everything seemed during the war’s darkest days. The life of reason, justice, and truth, could have been lost—possibly lost forever. </w:t>
      </w:r>
    </w:p>
    <w:p>
      <w:pPr>
        <w:spacing w:line="240" w:lineRule="auto"/>
        <w:widowControl/>
        <w:pStyle w:val="BodyText2"/>
      </w:pPr>
      <w:r>
        <w:t>Even after the tide had turned and victory was grasped, Blanshard remained attuned to cynical voices on all sides that reason had been impotent, was still impotent, and must forever be impotent to direct humanity’s affairs. Nothing external or objective really controls what people think and judge, these voices announce as the revealed wisdom of the day. He insisted on holding out hope for reasonableness:</w:t>
      </w:r>
    </w:p>
    <w:p>
      <w:pPr>
        <w:ind w:left="446"/>
        <w:spacing w:before="100" w:beforeAutospacing="0" w:after="100" w:afterAutospacing="0" w:line="240" w:lineRule="auto"/>
        <w:widowControl/>
        <w:pStyle w:val="blockquote"/>
        <w:tabs>
          <w:tab w:val="clear" w:pos="215"/>
        </w:tabs>
      </w:pPr>
      <w:r>
        <w:t>To be reasonable implies at the least that there is an objective truth and right which we can at times apprehend, and that if our thought follows a certain course, it is because it is laid under constraint by the objective pattern of things. (5:177)</w:t>
      </w:r>
    </w:p>
    <w:p>
      <w:pPr>
        <w:spacing w:line="240" w:lineRule="auto"/>
        <w:widowControl/>
        <w:pStyle w:val="BodyText2"/>
      </w:pPr>
      <w:r>
        <w:t xml:space="preserve">Blanshard then identified three schools of academic thought that deny the possibility or efficacy of this reasonableness: the naturalists, the psychoanalysts, and the positivists: </w:t>
      </w:r>
    </w:p>
    <w:p>
      <w:pPr>
        <w:spacing w:line="240" w:lineRule="auto"/>
        <w:widowControl/>
        <w:pStyle w:val="BodyText2"/>
      </w:pPr>
      <w:r>
        <w:t xml:space="preserve">The naturalist, according to Blanshard, claims that all cognitive processes are dictated by natural laws, so all judgment occurs by strict compulsion from internal neurological conditions. That determinism presumably eliminates the opportunity to be guided by objective matters instead. Naturalism cannot eliminate reasonableness so easily, however. Rational necessities have a reality independent from all laws of nature and psychological events, Blanshard affirmed, and his proof appealed to an inner feeling that one is guided by those objective necessities while one is reasoning, and not anything under one’s own mental control. </w:t>
      </w:r>
    </w:p>
    <w:p>
      <w:pPr>
        <w:spacing w:line="240" w:lineRule="auto"/>
        <w:widowControl/>
        <w:pStyle w:val="BodyText2"/>
      </w:pPr>
      <w:r>
        <w:t xml:space="preserve">The next opposition to reasonableness comes from the psychoanalysts and allied explorers into the psychological depths of emotionality, who conclude that reason is controlled by feelings, and such deep feelings like loves, desires, and fears are beyond conscious control. Blanshard easily granted the perennial contest between reason and emotion, but he hastened to point out that reason must have some objectivity and influence for us, for if it were so inconsequential, we would hardly notice the unreasonableness of so many emotional episodes. </w:t>
      </w:r>
    </w:p>
    <w:p>
      <w:pPr>
        <w:spacing w:line="240" w:lineRule="auto"/>
        <w:widowControl/>
        <w:pStyle w:val="BodyText2"/>
      </w:pPr>
      <w:r>
        <w:t>The third kind of opposition to reasonableness, from the positivists, admits external realities but denies that we could form a final intelligible worldview from our limited access through observation. Reason can demand that we discern the true framework of the world, but it will forever be disappointed. Not even logic has a basis in external realities. Reason and logic are not decisive for actual empirical work of settling on just-good-enough descriptions of what we can contingently and conventionally agree about the world. Blanshard could only state his final rationalist assertion to conclude this paper: “all necessary propositions must be taken to assert of existence and that no factual propositions are altogether contingent” (5:193).</w:t>
      </w:r>
    </w:p>
    <w:p>
      <w:pPr>
        <w:spacing w:line="240" w:lineRule="auto"/>
        <w:widowControl/>
        <w:pStyle w:val="BodyText2"/>
      </w:pPr>
      <w:r>
        <w:t xml:space="preserve">Blanshard turned out to be the last of the presidents of The APA from that mighty school of idealism, which had held sway over philosophy in America for three generations; but he did not get the last word. The final words from those wartime years happened to come from successive pragmatist-minded presidents: George Perrigo Conger (1944–1945) and Wright. </w:t>
      </w:r>
    </w:p>
    <w:p>
      <w:pPr>
        <w:spacing w:line="240" w:lineRule="auto"/>
        <w:widowControl/>
        <w:pStyle w:val="BodyText2"/>
      </w:pPr>
      <w:r>
        <w:t>Conger was unable to deliver his address, “Method and Content in Philosophy” until the division’s first meeting after the war, in May 1946. His address, like Blanshard’s, reflected the wartime years that shaped its theme, as philosophy pondered its fundamental options and available directions. Unlike Blanshard, however, Conger was unwilling to place the full burden of philosophy’s purpose and destiny in the hands of any single philosophical movement, even one so distinguished as rationalism. Instead, he called for a truly comprehensive philosophy striving to take all methodologies and perspectives into proper account. Not only would that comprehensive philosophy unify scientific fields and integrate social ethics on a planetary scale, it would incorporate all religion as well:</w:t>
      </w:r>
    </w:p>
    <w:p>
      <w:pPr>
        <w:ind w:left="446"/>
        <w:spacing w:before="100" w:beforeAutospacing="0" w:after="100" w:afterAutospacing="0" w:line="240" w:lineRule="auto"/>
        <w:widowControl/>
        <w:pStyle w:val="blockquote"/>
        <w:tabs>
          <w:tab w:val="clear" w:pos="215"/>
        </w:tabs>
      </w:pPr>
      <w:r>
        <w:t>a truly comprehensive philosophy may adumbrate and begin to suggest a truly comprehensive religion. The great religions, too, or, more accurately, their theologies, are partitionings of a manifold—the same old manifold, the universe—common to them all. In a planetary culture, the old walls behind which the adherents of each particular religion huddled, or on which some sat and looked down on others, or through which many a devoted missionary tried to force his way, are bound to crumble. In their place eventually we shall have one landscape, whether it is garden or rubble. With a comprehensive philosophy, we shall be able to press toward the ideal . . . it is the function of each of the great religions to bring out the best in the others. (5:316)</w:t>
      </w:r>
    </w:p>
    <w:p>
      <w:pPr>
        <w:spacing w:line="240" w:lineRule="auto"/>
        <w:widowControl/>
        <w:pStyle w:val="BodyText2"/>
      </w:pPr>
      <w:r>
        <w:t xml:space="preserve">Wright’s address comported well with Conger’s, similarly calling for a joint philosophical effort of the widest possible scope and impact. The ultimate division within philosophy, Wright said, was not between schools, but between temperaments. The great philosophers exemplify magnanimity, a generosity of intellect eager to encompass all knowledge and wisdom, something that no science or religion could or should attempt. Even among philosophers, few have tried, while many have bailed, shrinking away from that daunting task. </w:t>
      </w:r>
    </w:p>
    <w:p>
      <w:pPr>
        <w:spacing w:line="240" w:lineRule="auto"/>
        <w:widowControl/>
        <w:pStyle w:val="BodyText2"/>
      </w:pPr>
      <w:r>
        <w:t xml:space="preserve">Only now, at “The End of the Day,” as Wright titled his address, can we perceive the close of the glorious period of Modern Philosophy: </w:t>
      </w:r>
    </w:p>
    <w:p>
      <w:pPr>
        <w:ind w:left="446"/>
        <w:spacing w:before="100" w:beforeAutospacing="0" w:after="100" w:afterAutospacing="0" w:line="240" w:lineRule="auto"/>
        <w:widowControl/>
        <w:pStyle w:val="blockquote"/>
        <w:tabs>
          <w:tab w:val="clear" w:pos="215"/>
        </w:tabs>
      </w:pPr>
      <w:r>
        <w:t>With the close of the nineteenth century, the last rays of the setting sun seem to have disappeared, and to have been followed by the slowly dimming twilight of the present. The five most significant philosophers of the past twenty years, perhaps some of you will agree with me, have been Samuel Alexander, Henri Bergson, Dewey, George Santayana, and Alfred North Whitehead [1931–1932], all born over eighty years ago. What younger men show promise of becoming their equals? (5:256)</w:t>
      </w:r>
    </w:p>
    <w:p>
      <w:pPr>
        <w:ind w:left="0" w:firstLine="446"/>
        <w:spacing w:line="240" w:lineRule="auto"/>
        <w:widowControl/>
        <w:pStyle w:val="BodyText"/>
      </w:pPr>
      <w:r>
        <w:t>Philosophy will go on, of course, but which temperament will prevail? Wright continued:</w:t>
      </w:r>
    </w:p>
    <w:p>
      <w:pPr>
        <w:ind w:left="446"/>
        <w:spacing w:before="100" w:beforeAutospacing="0" w:after="100" w:afterAutospacing="0" w:line="240" w:lineRule="auto"/>
        <w:widowControl/>
        <w:pStyle w:val="blockquote"/>
        <w:tabs>
          <w:tab w:val="clear" w:pos="215"/>
        </w:tabs>
      </w:pPr>
      <w:r>
        <w:t>Philosophy will always occupy a considerable domain, including at least metaphysics, epistemology, theoretical ethics and aesthetics, and the philosophy of religion. In addition to these subjects, magnanimous philosophers, with their broader and less specialized outlook, will continue to cooperate with the technicians in every field of human inquiry and activity in which adjustments to new situations must be made upon an extensive scale. In every situation involving reflective adjustments, realists, idealists, instrumentalists, and philosophers of every school will be able to offer suggestions. Nothing that is of real human significance, whether in the realm of pure essences and subsistents, or in that of practical emergencies, can be alien to the interest and sympathy of a magnanimous philosopher. (5:259)</w:t>
      </w:r>
    </w:p>
    <w:p>
      <w:pPr>
        <w:spacing w:line="240" w:lineRule="auto"/>
        <w:widowControl/>
        <w:pStyle w:val="BodyText"/>
      </w:pPr>
      <w:r>
        <w:t>Yet Wright saw no magnanimous philosophers among his generation. Whom did he see?</w:t>
      </w:r>
    </w:p>
    <w:p>
      <w:pPr>
        <w:ind w:left="446"/>
        <w:spacing w:before="100" w:beforeAutospacing="0" w:after="100" w:afterAutospacing="0" w:line="240" w:lineRule="auto"/>
        <w:widowControl/>
        <w:pStyle w:val="blockquote"/>
        <w:tabs>
          <w:tab w:val="clear" w:pos="215"/>
        </w:tabs>
      </w:pPr>
      <w:r>
        <w:t xml:space="preserve">In contrast to the magnanimous philosopher, a minute philosopher fails to arrive at any constructive interpretation of the world and humanity in their mutual relationships. Even if a philosopher is magnanimous in his own thinking, he may fail to make his constructive outlook intelligible to his students or the readers of his books, and so he may be a minute philosopher so far as his influence upon other persons is concerned. </w:t>
      </w:r>
    </w:p>
    <w:p>
      <w:pPr>
        <w:ind w:left="446"/>
        <w:spacing w:after="100" w:afterAutospacing="0" w:line="240" w:lineRule="auto"/>
        <w:widowControl/>
        <w:pStyle w:val="blockquote"/>
        <w:tabs>
          <w:tab w:val="clear" w:pos="215"/>
        </w:tabs>
      </w:pPr>
      <w:r>
        <w:t>Among minute philosophers I mean to include those who seek to know more and more about less and less, who confine their attention to trifling problems which throw no light upon any significant aspect of human life or of the world as a whole. (5:259)</w:t>
      </w:r>
    </w:p>
    <w:p>
      <w:pPr>
        <w:spacing w:line="240" w:lineRule="auto"/>
        <w:widowControl/>
        <w:pStyle w:val="BodyText"/>
      </w:pPr>
      <w:r>
        <w:t>Instead of creativity, there is only the shifty business of intense concentration and stubborn consistency. The arid scholasticism of analytic philosophy was becoming the dominant tenor, but it had plenty of company. Keeping your head down at one’s own bench was to be the uninspiring offspring of that “PhD Octopus” that James had warned against,</w:t>
      </w:r>
      <w:r>
        <w:rPr>
          <w:rStyle w:val="EndnoteReference"/>
        </w:rPr>
        <w:endnoteReference w:id="110"/>
      </w:r>
      <w:r>
        <w:t xml:space="preserve"> and that anti-humanistic scientism rewarded by professionalization and politicization of research. Worse, Wright admonished, that stifling atmosphere of conformity is a breeding ground for the “triflers, cranks, debunkers, and pedants” (5:266), who parasitically dispense pseudo-knowledge under the guise of profundity. </w:t>
      </w:r>
    </w:p>
    <w:p>
      <w:pPr>
        <w:spacing w:line="240" w:lineRule="auto"/>
        <w:widowControl/>
        <w:pStyle w:val="BodyText2"/>
      </w:pPr>
      <w:r>
        <w:t>As Wright did, we may ask ourselves which sort of temperament prevails in our own times. Our answer may be as dispiriting as his was. All the same, no generation is deprived of great challenges and moral causes, if only one would be willing to look up and around. Forward-looking philosophers tried to find their bearings as their clouds of war dispersed.</w:t>
      </w:r>
    </w:p>
    <w:p>
      <w:pPr>
        <w:spacing w:before="100" w:beforeAutospacing="0" w:after="100" w:afterAutospacing="0"/>
        <w:jc w:val="center"/>
        <w:pStyle w:val="NoSpacing"/>
        <w:rPr>
          <w:b/>
        </w:rPr>
      </w:pPr>
      <w:r>
        <w:rPr>
          <w:b/>
        </w:rPr>
        <w:t>5. Philosophers in Peacetime</w:t>
      </w:r>
    </w:p>
    <w:p>
      <w:pPr>
        <w:spacing w:line="240" w:lineRule="auto"/>
        <w:widowControl/>
        <w:pStyle w:val="BodyText"/>
      </w:pPr>
      <w:r>
        <w:t>The years 1946 and 1947 brought immense relief at the arrival of peace, but intellects remained unsettled while the possibility of global cooperation seemed remote. If it were possible, an even greater threat to humanity had emerged, as the Atomic Age dawned upon a surprised world. How would philosophy prove relevant to these alarming times? A pragmatic spirit dominated the presidential addresses during these years, even if an optimistic outlook could not.</w:t>
      </w:r>
    </w:p>
    <w:p>
      <w:pPr>
        <w:spacing w:line="240" w:lineRule="auto"/>
        <w:widowControl/>
        <w:pStyle w:val="BodyText2"/>
      </w:pPr>
      <w:r>
        <w:t>To</w:t>
      </w:r>
      <w:r>
        <w:rPr>
          <w:sz w:val="16"/>
        </w:rPr>
        <w:t xml:space="preserve"> </w:t>
      </w:r>
      <w:r>
        <w:t>William</w:t>
      </w:r>
      <w:r>
        <w:rPr>
          <w:sz w:val="16"/>
        </w:rPr>
        <w:t xml:space="preserve"> </w:t>
      </w:r>
      <w:r>
        <w:t>Ray</w:t>
      </w:r>
      <w:r>
        <w:rPr>
          <w:sz w:val="16"/>
        </w:rPr>
        <w:t xml:space="preserve"> </w:t>
      </w:r>
      <w:r>
        <w:t>Dennes</w:t>
      </w:r>
      <w:r>
        <w:rPr>
          <w:sz w:val="16"/>
        </w:rPr>
        <w:t xml:space="preserve"> </w:t>
      </w:r>
      <w:r>
        <w:t>(1945</w:t>
      </w:r>
      <w:r>
        <w:rPr>
          <w:sz w:val="18"/>
        </w:rPr>
        <w:t>–</w:t>
      </w:r>
      <w:r>
        <w:t>1946)</w:t>
      </w:r>
      <w:r>
        <w:rPr>
          <w:sz w:val="16"/>
        </w:rPr>
        <w:t xml:space="preserve"> </w:t>
      </w:r>
      <w:r>
        <w:t>fell</w:t>
      </w:r>
      <w:r>
        <w:rPr>
          <w:sz w:val="16"/>
        </w:rPr>
        <w:t xml:space="preserve"> </w:t>
      </w:r>
      <w:r>
        <w:t>the</w:t>
      </w:r>
      <w:r>
        <w:rPr>
          <w:sz w:val="16"/>
        </w:rPr>
        <w:t xml:space="preserve"> </w:t>
      </w:r>
      <w:r>
        <w:t>opportunity to deliver the first presidential address in person to colleagues at a division meeting in four years, in December 1945. Entitled “Conflict,” it began with these sobering words:</w:t>
      </w:r>
    </w:p>
    <w:p>
      <w:pPr>
        <w:ind w:left="446"/>
        <w:spacing w:before="100" w:beforeAutospacing="0" w:after="100" w:afterAutospacing="0" w:line="240" w:lineRule="auto"/>
        <w:widowControl/>
        <w:pStyle w:val="blockquote"/>
        <w:tabs>
          <w:tab w:val="clear" w:pos="215"/>
        </w:tabs>
      </w:pPr>
      <w:r>
        <w:t>That violence breeds violence is not a new discovery. . . . But few expected that the resultant tensions would be anything like as menacing as they have been rendered by the invention of explosives which exceed the destructive force of TNT not by a factor of 2, or of 10, or even of 100, but by a factor approaching 1,750,000 pound for pound. It is not hysterical rhetoric but the soberest of facts that leads us to recognize the probability that unless effective international control is achieved within ten or twenty years several nations will possess large stocks of devices by which they could shatter and roast to death, within an hour or so, half the population of a country like ours besides obliterating its cities. And if (as seems, fortunately, doubtful) means should be discovered to confine close to the surface of the earth the flow of radioactive gases released by the explosion of these instruments, their horrible (and in many cases lingering) destructiveness would be further multiplied. The problems which consequently face us are not new in kind; but the increase in their intensity and urgency is staggering. The word is on the lips of every responsible man and woman that we human beings, hundreds of millions of us and of many nations, must either find ways to resolve our major disagreements effectively, and pretty quickly, or we shall very probably soon destroy ourselves. (5:225)</w:t>
      </w:r>
    </w:p>
    <w:p>
      <w:pPr>
        <w:spacing w:line="240" w:lineRule="auto"/>
        <w:widowControl/>
        <w:pStyle w:val="BodyText"/>
      </w:pPr>
      <w:r>
        <w:t>It may appear that conflicts over values ultimately go back to theoretical disputes, the obstinate belief systems to which we cling. If so, then disagreements appear to be irresolvable, for each belief system will assume the privilege of determining facts for themselves. However, because values are at stake, people are most practically concerned with realizing those values for life—should we be surprised to discover that many of the same values are widely prioritized, and disputes are actually about the best means to achieve them? This practical matter can be intelligently approached with far-reaching inquiries into the actual consequences of optional policies and practices. Coordinating those inquiries and synthesizing the results for application to human ends would require philosophy’s creative reconciliation. It is not the pacification of competing powers over life that demands philosophy’s attention, but rather the testing and harnessing of competing theories of life.</w:t>
      </w:r>
    </w:p>
    <w:p>
      <w:pPr>
        <w:spacing w:line="240" w:lineRule="auto"/>
        <w:widowControl/>
        <w:pStyle w:val="BodyText2"/>
      </w:pPr>
      <w:r>
        <w:t xml:space="preserve">Robinson was also convinced of the practical utility of philosophy in human affairs. He had published </w:t>
      </w:r>
      <w:r>
        <w:rPr>
          <w:i/>
        </w:rPr>
        <w:t>Political Ethics</w:t>
      </w:r>
      <w:r>
        <w:t xml:space="preserve"> in 1935,</w:t>
      </w:r>
      <w:r>
        <w:rPr>
          <w:rStyle w:val="EndnoteReference"/>
        </w:rPr>
        <w:endnoteReference w:id="111"/>
      </w:r>
      <w:r>
        <w:t xml:space="preserve"> and would publish </w:t>
      </w:r>
      <w:r>
        <w:rPr>
          <w:i/>
        </w:rPr>
        <w:t>Principles of Conduct</w:t>
      </w:r>
      <w:r>
        <w:t xml:space="preserve"> in 1948.</w:t>
      </w:r>
      <w:r>
        <w:rPr>
          <w:rStyle w:val="EndnoteReference"/>
        </w:rPr>
        <w:endnoteReference w:id="112"/>
      </w:r>
      <w:r>
        <w:t xml:space="preserve"> A philosophical grasp on science’s general depiction of the world is essential to working with science’s theoretical implications as they race ahead of familiar moral and political principles. His address, “A Philosophy for the Atomic Age,” contrasted unifying positivism, scientific relativism, and process metaphysics. Whichever scientific philosophy proves the most adequate may depend on its applicability to the incredible technological powers recently acquired at the atomic and subatomic levels. Nature can no longer be depicted as aloof and static for describing and mapping; scientific experience is now about technological scrutiny and transformation of nature for our multiplying ends. The distinction between pure and applied science is invisible to ethics as well, which has the right to scrutinize all implications for the acquisition of knowledge: </w:t>
      </w:r>
    </w:p>
    <w:p>
      <w:pPr>
        <w:ind w:left="446"/>
        <w:spacing w:before="100" w:beforeAutospacing="0" w:after="100" w:afterAutospacing="0" w:line="240" w:lineRule="auto"/>
        <w:widowControl/>
        <w:pStyle w:val="blockquote"/>
        <w:tabs>
          <w:tab w:val="clear" w:pos="215"/>
        </w:tabs>
      </w:pPr>
      <w:r>
        <w:t xml:space="preserve">The ethical principle that in the technological development of pure knowledge those implementations of natural power which would promote the common good are right, whereas those that would destroy it are wrong is probably universally acceptable among thinkers concerned with ethics. </w:t>
      </w:r>
    </w:p>
    <w:p>
      <w:pPr>
        <w:ind w:left="446"/>
        <w:spacing w:after="100" w:afterAutospacing="0" w:line="240" w:lineRule="auto"/>
        <w:widowControl/>
        <w:pStyle w:val="blockquote"/>
        <w:tabs>
          <w:tab w:val="clear" w:pos="215"/>
        </w:tabs>
      </w:pPr>
      <w:r>
        <w:t>Such a principle implies a definite restriction upon technological developments of scientific knowledge, and that is precisely what the ethical conditioning of science means. (5:293–294)</w:t>
      </w:r>
    </w:p>
    <w:p>
      <w:pPr>
        <w:spacing w:line="240" w:lineRule="auto"/>
        <w:widowControl/>
        <w:pStyle w:val="BodyText"/>
      </w:pPr>
      <w:r>
        <w:t>This “ethical conditioning of technology” (5:296) can refocus philosophy on the opportunities for advancing human progress once again.</w:t>
      </w:r>
    </w:p>
    <w:p>
      <w:pPr>
        <w:spacing w:line="240" w:lineRule="auto"/>
        <w:widowControl/>
        <w:pStyle w:val="BodyText2"/>
      </w:pPr>
      <w:r>
        <w:t xml:space="preserve">Katharine Everett Gilbert (1946–1947) looked to art and aesthetics, especially poetry, for guidance on human welfare and progress. The full meaning of life offered by the most powerful ideas enthralling and enchanting humanity can be divulged by bold poetry. That is why “important poetic fiction may, by its apparent intense unreason throw light on those metaphysical first principles that Whitehead says ‘mutely appeal for an imaginative leap.’” (5:326) An ongoing conversation between poetry and philosophy should make fruitful contributions to our ethical quandaries as well. </w:t>
      </w:r>
    </w:p>
    <w:p>
      <w:pPr>
        <w:spacing w:line="240" w:lineRule="auto"/>
        <w:widowControl/>
        <w:pStyle w:val="BodyText2"/>
      </w:pPr>
      <w:r>
        <w:t xml:space="preserve">In “The Role of a Philosopher,” Marten ten Hoor (1945–1947) similarly found a predominate responsibility to negotiate among other disciplines and creative endeavors rather than seeking some ultimate reality or supreme method. Those lofty, but illusive, goals would not impose order among philosophers, not even among specialists in logic or metaphysics, and could not impress non-philosophers, who only detect irrelevant abstraction instead of concrete relevance. The philosopher of ethics, a practical-minded and multi-disciplinary ethics, should make the greatest impact on human conditions: </w:t>
      </w:r>
    </w:p>
    <w:p>
      <w:pPr>
        <w:ind w:left="446"/>
        <w:spacing w:before="100" w:beforeAutospacing="0" w:after="100" w:afterAutospacing="0" w:line="240" w:lineRule="auto"/>
        <w:widowControl/>
        <w:pStyle w:val="blockquote"/>
        <w:tabs>
          <w:tab w:val="clear" w:pos="215"/>
        </w:tabs>
      </w:pPr>
      <w:r>
        <w:t>Since social institutions are intended to promote the realization of values, the social sciences must of necessity be based on ethics. The moralist and the social scientist should therefore cooperate in the translation of moral wisdom into social practice. Obstacles to such cooperation are the deterministic philosophy of social institutions professed by some social scientists, the preoccupation of others with the mechanics of social processes, and the mutual professional isolation and antagonism of social scientists and philosophers. That the problems of the individual and of the social institution are so disparate and so unrelated as to forbid this cooperation is not an acceptable objection. (5:381)</w:t>
      </w:r>
    </w:p>
    <w:p>
      <w:pPr>
        <w:spacing w:line="240" w:lineRule="auto"/>
        <w:widowControl/>
        <w:pStyle w:val="BodyText"/>
      </w:pPr>
      <w:r>
        <w:t xml:space="preserve">Reconciling the ideal and real, as the “intellectual conscience of the social theorists” (5:382), will require not only an interdisciplinary competence but also a linguistic reform. Novel but unnecessary terminologies, excessive confusion and carelessness, ignorant repetition of old ideas, and sheer verbalism as a substitute for elucidation only worsens the isolation of professional philosophy from academia as well as reality itself. </w:t>
      </w:r>
    </w:p>
    <w:p>
      <w:pPr>
        <w:spacing w:line="240" w:lineRule="auto"/>
        <w:widowControl/>
        <w:pStyle w:val="BodyText2"/>
      </w:pPr>
      <w:r>
        <w:t xml:space="preserve">Exercised properly, philosophy could increase world understanding as well as the understanding of the world, according to Cornelius Krusé (1947–1948). His address, “What Contribution Can Philosophy Make to World Understanding?,” was delivered at a joint meeting of the Eastern Division and the Second Inter-American Congress of Philosophy at Columbia University (5:408). Krusé took this opportunity to discuss the newly formed United Nations Educational, Scientific and Cultural Organization (UNESCO) and its ambitious goals for international cooperation on education, science, culture, and communication. These aims are entirely consistent with democracy as a way of life and politics. </w:t>
      </w:r>
    </w:p>
    <w:p>
      <w:pPr>
        <w:spacing w:line="240" w:lineRule="auto"/>
        <w:widowControl/>
        <w:pStyle w:val="BodyText2"/>
      </w:pPr>
      <w:r>
        <w:t xml:space="preserve">Where does philosophy fit in? Philosophers have been defending absolute values or subjective values for millennia; is there any practical alternative? As far as the real world of human affairs is concerned, what is needed is a discerning inquiry into “universal” values: concrete values already accepted and pursued by most peoples around the world. Universality may appear to be a poor substitute for assured certainties, whether of the transcendent or intuitive sort. All the same, certainties have not proven their solidity or practicality. Moreover, they have been responsible for tyrannies. Universality could do better asserted Krusé: </w:t>
      </w:r>
    </w:p>
    <w:p>
      <w:pPr>
        <w:ind w:left="446"/>
        <w:spacing w:before="100" w:beforeAutospacing="0" w:after="100" w:afterAutospacing="0" w:line="240" w:lineRule="auto"/>
        <w:widowControl/>
        <w:pStyle w:val="blockquote"/>
        <w:tabs>
          <w:tab w:val="clear" w:pos="215"/>
        </w:tabs>
      </w:pPr>
      <w:r>
        <w:t>It must not be supposed that search for values of universal validity carries with it, as is so often feared, the rejection of diversity in world outlook and way of life. Quite the opposite is true. The true philosopher will be a lover of plurality, rejoicing in man’s diverse ways of conceiving his place and destiny in the world. It is not uniformity but orchestrated unity which the world is in need of. (5:404)</w:t>
      </w:r>
    </w:p>
    <w:p>
      <w:pPr>
        <w:spacing w:line="240" w:lineRule="auto"/>
        <w:widowControl/>
        <w:pStyle w:val="BodyText2"/>
      </w:pPr>
      <w:r>
        <w:t xml:space="preserve">Abram Cornelius Benjamin (1947–1948) appreciated the universality of the philosopher’s domain, yet that level of generality leaves plain communication behind, resulting in “Philosophy, the Cult of Unintelligibility.” Sorted by temperament and technique, Benjamin surveyed over a dozen sects and schools of thought, each trying to pair intelligibility with terminology, to varying degrees of success. Truly creative and speculative philosophy will not be delimited by common sense or ordinary language where new ideas are needed, just as science could not be restricted, and unfamiliar situations are encountered: </w:t>
      </w:r>
    </w:p>
    <w:p>
      <w:pPr>
        <w:ind w:left="446"/>
        <w:spacing w:before="100" w:beforeAutospacing="0" w:after="100" w:afterAutospacing="0" w:line="240" w:lineRule="auto"/>
        <w:widowControl/>
        <w:pStyle w:val="blockquote"/>
        <w:tabs>
          <w:tab w:val="clear" w:pos="215"/>
        </w:tabs>
      </w:pPr>
      <w:r>
        <w:t>The philosopher must use his technical language because what he wants to say is something which the average man does not want to say because he has never been confronted with the necessity for saying it. The language of the common man is adequate to the situations with which he is in immediate contact, since it was devised to communicate about just such states of affairs, and he will realize its insufficiency only when his experience has broadened to include situations which cannot be adequately described in these terms. (5:444)</w:t>
      </w:r>
    </w:p>
    <w:p>
      <w:pPr>
        <w:spacing w:line="240" w:lineRule="auto"/>
        <w:widowControl/>
        <w:pStyle w:val="BodyText"/>
      </w:pPr>
      <w:r>
        <w:t>That experimental spirit can be lost, however, if the speculative philosopher retreats into a “rationalistic, deductive method of exposition and justification” (5:444), makes “attempts to clarity terms by reducing them to other terms which are equally obscure” (5:445), or retreats into tedious repetition in book after book. Philosophy’s remaining hope is to open paths into new realms and clearly explain show how one may get there and back again.</w:t>
      </w:r>
    </w:p>
    <w:p>
      <w:pPr>
        <w:ind w:left="0" w:firstLine="0"/>
        <w:spacing w:before="100" w:beforeAutospacing="0" w:after="100" w:afterAutospacing="0" w:line="240" w:lineRule="auto"/>
        <w:jc w:val="center"/>
        <w:widowControl/>
        <w:pStyle w:val="BodyText2"/>
        <w:rPr>
          <w:b/>
        </w:rPr>
      </w:pPr>
      <w:r>
        <w:rPr>
          <w:b/>
        </w:rPr>
        <w:t>6. Specialization and Fragmentation</w:t>
      </w:r>
    </w:p>
    <w:p>
      <w:pPr>
        <w:spacing w:line="240" w:lineRule="auto"/>
        <w:widowControl/>
        <w:pStyle w:val="BodyText"/>
      </w:pPr>
      <w:r>
        <w:t xml:space="preserve">As philosophers entered the last three years of a tumultuous decade, the post-war boom was expanding prosperity, colleges and universities were swelling with students, and disciplinary demands seemed more urgent than before. Most presidential addresses narrowed to topics from one area of philosophy or another, such as epistemology, philosophy of science, or naturalism. </w:t>
      </w:r>
    </w:p>
    <w:p>
      <w:pPr>
        <w:spacing w:line="240" w:lineRule="auto"/>
        <w:widowControl/>
        <w:pStyle w:val="BodyText2"/>
      </w:pPr>
      <w:r>
        <w:t>Everett John Nelson (1946–1947; 1966–1967) offered “A Defense of Substance,” taking substance to be the locus of causal powers exemplified in regular laws of related events. Causal power cannot be reduced to any number of qualities or relations, and surely irreducible to mere constant conjunctions. Power itself may be ‘indefinable’ (5:357) but substantial powers need be hypothesized in order to account for the verifiable regularity of conditional patterns of events: “any evidence that the data of experience occur according to stable law or in an orderly manner is evidence of the existence of substance as a ground of that law or order” (5:358).</w:t>
      </w:r>
    </w:p>
    <w:p>
      <w:pPr>
        <w:spacing w:line="240" w:lineRule="auto"/>
        <w:widowControl/>
        <w:pStyle w:val="BodyText2"/>
      </w:pPr>
      <w:r>
        <w:t>Reichenbach also chose empiricism and rationalism in their basic forms as unacceptable extremes for his address, “Rationalism and Empiricism: An Enquiry into the Roots of Philosophical Error.” Empiricism and rationalism take their extreme forms because rationalism first adopted the degree of necessity and certainty obtainable in mathematics as the standard of knowledge, while empiricism demanded that same high standard from experience:</w:t>
      </w:r>
    </w:p>
    <w:p>
      <w:pPr>
        <w:ind w:left="446"/>
        <w:spacing w:before="100" w:beforeAutospacing="0" w:after="100" w:afterAutospacing="0" w:line="240" w:lineRule="auto"/>
        <w:widowControl/>
        <w:pStyle w:val="blockquote"/>
        <w:tabs>
          <w:tab w:val="clear" w:pos="215"/>
        </w:tabs>
      </w:pPr>
      <w:r>
        <w:t>The empiricist has always attacked rationalism by the argument that the rationalist neglects the contribution of sense observation to knowledge. But in developing his own philosophy, the empiricist unconsciously accepted the fundamental thesis of rationalism, according to which genuine knowledge has to be as reliable as mathematical knowledge, and thus was pushed into the hopeless position of proving that empirical knowledge was as good as mathematical knowledge. (5:421)</w:t>
      </w:r>
    </w:p>
    <w:p>
      <w:pPr>
        <w:spacing w:line="240" w:lineRule="auto"/>
        <w:widowControl/>
        <w:pStyle w:val="BodyText"/>
      </w:pPr>
      <w:r>
        <w:t xml:space="preserve">Empiricists were thus forced toward either naïve materialism or empiricist skepticism. Naïve materialism would be scientific but ends up crudely metaphysical instead; empiricist skepticism abandons all hope of justifying anything scientific. Empiricism must abandon the rationalist standard of knowledge. </w:t>
      </w:r>
    </w:p>
    <w:p>
      <w:pPr>
        <w:spacing w:line="240" w:lineRule="auto"/>
        <w:widowControl/>
        <w:pStyle w:val="BodyText2"/>
      </w:pPr>
      <w:r>
        <w:t xml:space="preserve">Ironically, mathematical physics has shown the way for empiricism. Mathematics itself offers analytic truth unable to describe any reality. However, the theoretical choice among geometries to describe the universe liberates science from logical guarantees, while synthetic rules yielding probabilities through induction by enumeration are able to guide predictive knowledge of future events. Only by the early twentieth century was science’s own liberation from rationalism unavoidably obvious. Until then, philosophers could get away with interpreting science as each pleased, permitting their tacit preference for rationalism to distort what they could understand about the experimental sciences. </w:t>
      </w:r>
    </w:p>
    <w:p>
      <w:pPr>
        <w:spacing w:line="240" w:lineRule="auto"/>
        <w:widowControl/>
        <w:pStyle w:val="BodyText2"/>
      </w:pPr>
      <w:r>
        <w:t>The solution to philosophy’s blindnesses is now clear:</w:t>
      </w:r>
    </w:p>
    <w:p>
      <w:pPr>
        <w:ind w:left="446"/>
        <w:spacing w:before="100" w:beforeAutospacing="0" w:after="100" w:afterAutospacing="0" w:line="240" w:lineRule="auto"/>
        <w:widowControl/>
        <w:pStyle w:val="blockquote"/>
        <w:tabs>
          <w:tab w:val="clear" w:pos="215"/>
        </w:tabs>
      </w:pPr>
      <w:r>
        <w:t>What, then, can we do to build up a better philosophy? The study of error should help us to find the truth. Since philosophy is dependent on science, we should make this dependence the conscious condition of our work: we should know that the nature of knowledge can be studied only through analysis of science. The idea of a philosophical theory of knowledge that derives the general outlines of knowledge from the structure of the mind, or from an insight into the nature of being, should forever be abandoned. There is no ontology, no separate realm of philosophical knowledge that precedes science. Theory of knowledge is analysis of science. Philosophy does not contribute any content to knowledge; it merely studies the form of knowledge as exhibited in the work of the scientist and examines all claims to validity. In so doing, the philosopher will know that all he can strive for is a philosophy of the knowledge of his time. (5:429)</w:t>
      </w:r>
    </w:p>
    <w:p>
      <w:pPr>
        <w:spacing w:line="240" w:lineRule="auto"/>
        <w:widowControl/>
        <w:pStyle w:val="BodyText"/>
      </w:pPr>
      <w:r>
        <w:t xml:space="preserve">A franker statement of scientific philosophy could not be found. What happens to normative philosophy? </w:t>
      </w:r>
    </w:p>
    <w:p>
      <w:pPr>
        <w:ind w:left="446"/>
        <w:spacing w:before="100" w:beforeAutospacing="0" w:after="100" w:afterAutospacing="0" w:line="240" w:lineRule="auto"/>
        <w:widowControl/>
        <w:pStyle w:val="blockquote"/>
        <w:tabs>
          <w:tab w:val="clear" w:pos="215"/>
        </w:tabs>
      </w:pPr>
      <w:r>
        <w:t>The philosopher, who had to renounce setting up the principles of physics, will be ready also to renounce setting up the fundamental ethical imperatives. His task can only consist in a logical analysis of moral behavior, comparable to his analysis of cognitive behavior. He will point out the significance of implications for moral behavior, of the relations connecting the different volitional aims, making one aim subordinate to another; and he will emphasize the necessity of studying psychology and sociology to everyone who wants to combine volitional aims into an ordered system. Without the results of these sciences, implications between volitional aims cannot be set up, since these implications depend on the synthetic knowledge comprised by psychology and sociology. As in the theory of knowledge, the work of the philosopher in the field of ethics will essentially consist in establishing order, in making explicit the logical controls of a field of behavior so controversial and so indispensable. (5:429)</w:t>
      </w:r>
    </w:p>
    <w:p>
      <w:pPr>
        <w:spacing w:line="240" w:lineRule="auto"/>
        <w:widowControl/>
        <w:pStyle w:val="BodyText"/>
      </w:pPr>
      <w:r>
        <w:t xml:space="preserve">Lest anyone accuse Reichenbach of abandoning the tenor of his times and the knowledge that the world has barely survived yet another crisis, he did defend his philosophy’s quest for universality: </w:t>
      </w:r>
    </w:p>
    <w:p>
      <w:pPr>
        <w:ind w:left="446"/>
        <w:spacing w:before="100" w:beforeAutospacing="0" w:after="100" w:afterAutospacing="0" w:line="240" w:lineRule="auto"/>
        <w:widowControl/>
        <w:pStyle w:val="blockquote"/>
        <w:tabs>
          <w:tab w:val="clear" w:pos="215"/>
        </w:tabs>
      </w:pPr>
      <w:r>
        <w:t>The sober study of truth is deprived of the glamour of artistic creation; but it carries the advantage of paving the path to universal agreement, of setting up results that eventually will be exempt from controversy and attack. It is the path of science on which the philosophy of logical analysis is marching. Though less attractive to the romantic mind, the adoption of scientific method will appear the inescapable consequence of an unprejudiced study of the history of philosophy; it is the only successful path open to the philosophy of the twentieth century. (5:430)</w:t>
      </w:r>
    </w:p>
    <w:p>
      <w:pPr>
        <w:spacing w:line="240" w:lineRule="auto"/>
        <w:widowControl/>
        <w:pStyle w:val="BodyText2"/>
      </w:pPr>
      <w:r>
        <w:t xml:space="preserve">By coincidence, the next address was delivered by a philosopher similarly concerned for philosophy’s relationship with science, but who arrived at a diametrically opposed position. Herbert Wallace Schneider (1948–1949) spoke about “Metaphysical Vision,” and offered to metaphysics an opportunity for a very different destiny than becoming just an aspect of science: </w:t>
      </w:r>
    </w:p>
    <w:p>
      <w:pPr>
        <w:ind w:left="446"/>
        <w:spacing w:before="100" w:beforeAutospacing="0" w:after="100" w:afterAutospacing="0" w:line="240" w:lineRule="auto"/>
        <w:widowControl/>
        <w:pStyle w:val="blockquote"/>
        <w:tabs>
          <w:tab w:val="clear" w:pos="215"/>
        </w:tabs>
      </w:pPr>
      <w:r>
        <w:t>So metaphysics, too, could be a science—the science of ontology. It could ask with more precision and persistence than is ordinarily profitable, what the world is. . . . True propositions could thus be systematized not merely as logical statements, but as descriptive of states-of-affairs. These states-of-affairs would be the data for an analytic ontology, without benefit of any postulates or presuppositions other than the general rules of scientific method. No cosmology, theology, value theory, or transcendental deductions need complicate its wholehearted devotion to types of being. No claims to primacy or to ultimacy need embarrass its modest place among other sciences. There is no reason, therefore, why ontology could not be scientific enough to satisfy the fussiest logician. On such austere and possibly barren ground metaphysics could, if it chose, eke out its little life among the sciences. (5:457–458)</w:t>
      </w:r>
    </w:p>
    <w:p>
      <w:pPr>
        <w:spacing w:line="240" w:lineRule="auto"/>
        <w:widowControl/>
        <w:pStyle w:val="BodyText"/>
      </w:pPr>
      <w:r>
        <w:t>Surely metaphysics can have a wider vision that that! Would metaphysics turn away from its futile rationalism only to be reduced to sterile empiricism? Never!</w:t>
      </w:r>
    </w:p>
    <w:p>
      <w:pPr>
        <w:ind w:left="446"/>
        <w:spacing w:before="100" w:beforeAutospacing="0" w:after="100" w:afterAutospacing="0" w:line="240" w:lineRule="auto"/>
        <w:widowControl/>
        <w:pStyle w:val="blockquote"/>
        <w:tabs>
          <w:tab w:val="clear" w:pos="215"/>
        </w:tabs>
      </w:pPr>
      <w:r>
        <w:t xml:space="preserve">Is it any temptation to a metaphysician to live peacefully on such terms among scientists, when he might do battle gloriously among philosophers? </w:t>
      </w:r>
    </w:p>
    <w:p>
      <w:pPr>
        <w:ind w:left="446"/>
        <w:spacing w:after="100" w:afterAutospacing="0" w:line="240" w:lineRule="auto"/>
        <w:widowControl/>
        <w:pStyle w:val="blockquote"/>
        <w:tabs>
          <w:tab w:val="clear" w:pos="215"/>
        </w:tabs>
      </w:pPr>
      <w:r>
        <w:t xml:space="preserve">For philosophers, unlike scientists, live contentiously, and what they euphemistically call “dialectic” is usually disputation. Their inquiries are not peaceful and cooperative, but rather the occasions where opposites meet, and their “associations” are meetings for exhibiting such oppositions. It is in this environment that at least </w:t>
      </w:r>
      <w:r>
        <w:rPr>
          <w:i/>
        </w:rPr>
        <w:t>modern</w:t>
      </w:r>
      <w:r>
        <w:t xml:space="preserve"> metaphysics has chosen to live. It never has both eyes on its own field of inquiry, but always one eye on the other philosopher. It is habitually critical and not merely analytical. It lives by self-criticism, hesitation, evaluation, and complication. To its own particular concern with being it brings the added load of its own history and of human experience in general. Its ambition is not merely to be true but to be empirical as well; not merely to understand how things exist but to report man’s experience with existence. Thus it struggles with a double interest in man and in nature. It tries to be scientifically philosophical. Whereas any ordinary philosopher is systematically contentious, the metaphysical philosopher is contentiously systematic, for he insists on putting the whole of human experience into scientific form and at the same time putting the whole of science into the form of human experience. (5:458)</w:t>
      </w:r>
    </w:p>
    <w:p>
      <w:pPr>
        <w:spacing w:line="240" w:lineRule="auto"/>
        <w:widowControl/>
        <w:pStyle w:val="BodyText"/>
      </w:pPr>
      <w:r>
        <w:t xml:space="preserve">Philosophy is not fated to merely be a sub-domain of scientific method, but it should resolutely be scientifically philosophical in a much broader sense: </w:t>
      </w:r>
    </w:p>
    <w:p>
      <w:pPr>
        <w:ind w:left="446"/>
        <w:spacing w:before="100" w:beforeAutospacing="0" w:after="100" w:afterAutospacing="0" w:line="240" w:lineRule="auto"/>
        <w:widowControl/>
        <w:pStyle w:val="blockquote"/>
        <w:tabs>
          <w:tab w:val="clear" w:pos="215"/>
        </w:tabs>
      </w:pPr>
      <w:r>
        <w:t>I would conceive philosophical metaphysics as a peculiar method of binocular vision which can be applied to any subject matter, not for the sake of integrating knowledge systematically, but for the sake of illuminating by its plurality of perspective those aspects of a particular being which no one science or any other art can reveal. Though the method may be conceived systematically, there is no systematic application of it, no universal insight, no insight into reality as such, no wisdom-in-general. For the correlation of perspectives is achieved not in a third type of system which synthesizes science and experience, but in practice and imagination. Philosophic insight, like intelligence, is not expounded in treatises, for it cannot be formulated systematically; it exists piecemeal in practical judgment, critical ability, and poetic imagination. (5:463)</w:t>
      </w:r>
    </w:p>
    <w:p>
      <w:pPr>
        <w:spacing w:line="240" w:lineRule="auto"/>
        <w:widowControl/>
        <w:pStyle w:val="BodyText2"/>
      </w:pPr>
      <w:r>
        <w:t xml:space="preserve">Schneider’s pragmatist respect for pluralism and perspective, and for empirical integration over dialectical systematization, was echoed by another pragmatist, Donald Ayres Piatt (1948–1949). Piatt similarly called for philosophy to become more scientifically-oriented without getting absorbed into science’s methodologies and theories. If science is truly liberating, and all science is ultimately to be applied science, then science should be absorbed into the radical social efforts to relieve suffering and injustice. The bondage to which Piatt referred in his “Philosophy, Pragmatism, and Human Bondage” is the loss of empowerment that our social structures have imposed on us, without much knowledge or consent of individuals. Wasn’t the point of reason and knowledge to be human liberation? </w:t>
      </w:r>
    </w:p>
    <w:p>
      <w:pPr>
        <w:ind w:left="446"/>
        <w:spacing w:before="100" w:beforeAutospacing="0" w:after="100" w:afterAutospacing="0" w:line="240" w:lineRule="auto"/>
        <w:widowControl/>
        <w:pStyle w:val="blockquote"/>
        <w:tabs>
          <w:tab w:val="clear" w:pos="215"/>
        </w:tabs>
      </w:pPr>
      <w:r>
        <w:t>Human bondage gives point and poignancy to the thesis that the main concern of philosophy should be the nature of the world with man in it as its central fact. This is simply because man is man, man is the central fact, and there is no getting away from him. To take man as central is to take his problems seriously, and this requires recognition that the problem of knowledge and the problem of valuation are not at bottom two problems but are one and the same problem. (5:480)</w:t>
      </w:r>
    </w:p>
    <w:p>
      <w:pPr>
        <w:spacing w:line="240" w:lineRule="auto"/>
        <w:widowControl/>
        <w:pStyle w:val="BodyText"/>
      </w:pPr>
      <w:r>
        <w:t>The stunning successes of science demand readjustments not merely between human beings and nature, but between people and their social environments. If we live in an “Age of Anxiety” (5:472), philosophy’s rationalist neglect for real human problems only makes matters worse. Philosophy can reassert its opportunity to empower us:</w:t>
      </w:r>
    </w:p>
    <w:p>
      <w:pPr>
        <w:ind w:left="446"/>
        <w:spacing w:before="100" w:beforeAutospacing="0" w:line="240" w:lineRule="auto"/>
        <w:widowControl/>
        <w:pStyle w:val="blockquote"/>
        <w:tabs>
          <w:tab w:val="clear" w:pos="215"/>
        </w:tabs>
      </w:pPr>
      <w:r>
        <w:t>By turning its attention away from things as they are to the way in which things are connected in passage, and by giving man an appreciable control over things in passage, science has imposed a heavy responsibility upon philosophy, the responsibility for becoming scientific about the ends of life as well as about the means for achieving these ends. The objective need-demand situation makes the philosophical enterprise perform a genuine service, mediating between the rich complexity of human life as immediately experienced and suffered and the objective causal structure exhibited by the sciences. So it is that a kind of pragmatism has emerged in our inquiry as a hopeful tertium quid between philosophy and human bondage, pragmatism signalizing the militant faith of the “I” in creative human intelligence. (5:481)</w:t>
      </w:r>
    </w:p>
    <w:p>
      <w:pPr>
        <w:ind w:left="0" w:firstLine="0"/>
        <w:spacing w:before="100" w:beforeAutospacing="0" w:after="100" w:afterAutospacing="0" w:line="240" w:lineRule="auto"/>
        <w:jc w:val="center"/>
        <w:widowControl/>
        <w:pStyle w:val="BodyText2"/>
        <w:rPr>
          <w:b/>
        </w:rPr>
      </w:pPr>
      <w:r>
        <w:rPr>
          <w:b/>
        </w:rPr>
        <w:t>7. Philosophy and Science</w:t>
      </w:r>
    </w:p>
    <w:p>
      <w:pPr>
        <w:spacing w:line="240" w:lineRule="auto"/>
        <w:widowControl/>
        <w:pStyle w:val="BodyText"/>
      </w:pPr>
      <w:r>
        <w:t xml:space="preserve">Other presidents of the 1940s had the significance of science on their minds. If philosophy were restored to significance because of science, then the matters that science is able to find and verify as significant must have crucial importance. Paul Marhenke (1949–1950) selected for his topic “The Criterion of Significance” in order to demand the strictest criteria for anything significant that any science or philosophy is capable of declaring. A declarative is significant only if it satisfies the grammar and orthography rules of a language and be capable of clear expression in ordinary idiom. </w:t>
      </w:r>
    </w:p>
    <w:p>
      <w:pPr>
        <w:spacing w:line="240" w:lineRule="auto"/>
        <w:widowControl/>
        <w:pStyle w:val="BodyText2"/>
      </w:pPr>
      <w:r>
        <w:t xml:space="preserve">Marhenke dismissed the notion that esoteric language used in some metaphysical systems is meaningful despite its untranslatability into ordinary language. If esoteric expressions are meaningful, he declared, then someone who genuinely understands their meaning would produce that meaning in ordinary idiom: “Anyone who has mastered the esoteric idiom and knows what is being said is ipso facto in a position to communicate his knowledge in the language he shares with the rest of us” (5:515). </w:t>
      </w:r>
    </w:p>
    <w:p>
      <w:pPr>
        <w:spacing w:line="240" w:lineRule="auto"/>
        <w:widowControl/>
        <w:pStyle w:val="BodyText2"/>
      </w:pPr>
      <w:r>
        <w:t xml:space="preserve">Put plainly, Marhenke justified his claim that esoteric metaphysics is meaningless unless a translation into ordinary language is produced, on the grounds that meaningful metaphysics is evidently translatable into ordinary language. If ordinary idiom commonly finds tautologies positively informative, Marhenke has said something significant about significance to his audience. </w:t>
      </w:r>
    </w:p>
    <w:p>
      <w:pPr>
        <w:spacing w:line="240" w:lineRule="auto"/>
        <w:widowControl/>
        <w:pStyle w:val="BodyText2"/>
      </w:pPr>
      <w:r>
        <w:t>Marhenke next rejected theories from Bertrand Russell and Moritz Schlick, holding that sentences obtain their significance by expressing non-psychical propositions, or truth conditions, by pointing out that we could not tell what proposition or state of affairs could be responsible for any sentence’s meaning until we first knew its significance; so significance holds priority. He went on to criticize Rudolf Carnap’s verifiability criterion for empirical meaning, noting that one “cannot devise an observation test until you know the meaning of the sentence you are going to test” (5:525)</w:t>
      </w:r>
    </w:p>
    <w:p>
      <w:pPr>
        <w:spacing w:line="240" w:lineRule="auto"/>
        <w:widowControl/>
        <w:pStyle w:val="BodyText2"/>
      </w:pPr>
      <w:r>
        <w:t xml:space="preserve">Albert Edwin Avey (1949–1950) focused on epistemological considerations about truth and falsehood in his address, “Truth and Falsehood, Mostly Falsehood.” Philosophies have little difficulty proposing a bewildering variety to concepts of truth and knowing truth, without sufficiently attending to falsity and error. Saying a great deal about the reality of truth without explaining the origin of error raises suspicion that little has been accomplished on the matter of attaining knowledge or thinking that objectivity is possible. Realisms do not handle the problem of subjectivity well, while pragmatisms and idealisms appear to require either that there is no knowledge, or that there is no error. </w:t>
      </w:r>
    </w:p>
    <w:p>
      <w:pPr>
        <w:spacing w:line="240" w:lineRule="auto"/>
        <w:widowControl/>
        <w:pStyle w:val="BodyText2"/>
      </w:pPr>
      <w:r>
        <w:t>The relationship of the knower to reality is the basic issue, and there these problems reappear in different guise. Is that relationship fatalistically or deterministically settled by reality itself, or does human freedom have a role? Dualism would account for that freedom of the knower to deviate from an accurate grasp of reality, but it would also permit a complete disconnection, so far as anyone could tell, even between separate minds. Monism imposes events on a passive mind unable to see error; dualism allows events to be so different from reality that minds cannot locate truth:</w:t>
      </w:r>
    </w:p>
    <w:p>
      <w:pPr>
        <w:ind w:left="0" w:firstLine="448"/>
        <w:spacing w:line="240" w:lineRule="auto"/>
        <w:widowControl/>
        <w:pStyle w:val="BodyText2"/>
      </w:pPr>
      <w:r>
        <w:t>The problem of error is clearly a phase of the problem of the One and the Many in the structure of Reality. The difficulty with excessive monism is that it stifles the possibility of error. This we reject not from the ethical point of view. If it could be made intelligible as interpretation of fact we could accept it even though counter to what we might approve. But our problem is not ethical; it is epistemological and ontological. Errors occur, and we ask, how is it possible that they should occur? What structure does a Reality have which allows this? On the other hand if there is no unity whatever how can any fact refer to any other? (5:566)</w:t>
      </w:r>
    </w:p>
    <w:p>
      <w:pPr>
        <w:ind w:left="0" w:firstLine="448"/>
        <w:spacing w:line="240" w:lineRule="auto"/>
        <w:widowControl/>
        <w:pStyle w:val="BodyText2"/>
      </w:pPr>
      <w:r>
        <w:t xml:space="preserve">Truth and falsity must be a relativistic, conditional, and pluralistic matter. “Critically considered, all discourse operates within the confines of mentality. Whether there is any reality beyond these confines is an unanswerable question.” All the same, “mind does transcend any particular event which is within its ken; especially does thought transcend sensation” (5:570): </w:t>
      </w:r>
    </w:p>
    <w:p>
      <w:pPr>
        <w:ind w:left="446"/>
        <w:spacing w:before="100" w:beforeAutospacing="0" w:after="100" w:afterAutospacing="0" w:line="240" w:lineRule="auto"/>
        <w:widowControl/>
        <w:pStyle w:val="blockquote"/>
        <w:tabs>
          <w:tab w:val="clear" w:pos="215"/>
        </w:tabs>
      </w:pPr>
      <w:r>
        <w:t>the causal interplay of the subjective and individual with the objective and general must be due to the existence of some kind of common denominator, some basic principle of continuity between the two. All monistic metaphysics holds this to be the case, whatever name is given to ultimate reality. The escape from solipsism through the concept of causality then means that so far as the ultimate unity is concerned there is a sense in which there never is any isolation. (5:571)</w:t>
      </w:r>
    </w:p>
    <w:p>
      <w:pPr>
        <w:jc w:val="both"/>
        <w:pStyle w:val="NoSpacing"/>
      </w:pPr>
      <w:r>
        <w:t xml:space="preserve">Avey hastened to explain that we may never know that ultimate unity, of course—whether idealism or materialism is correct, we will not be in a position to verify conclusively. However, the connectedness of knowledge to real matters within our range of active experience as it grows does permit both the possibility of error, and hence of truth. </w:t>
      </w:r>
    </w:p>
    <w:p>
      <w:pPr>
        <w:spacing w:line="240" w:lineRule="auto"/>
        <w:widowControl/>
        <w:pStyle w:val="BodyText2"/>
      </w:pPr>
      <w:r>
        <w:t xml:space="preserve">I conclude this survey of the 1940s with two presidential addresses delivered in 1949 by two eminent thinkers of their generation, Hartshorne, a process metaphysician, and mystical empiricist Walter Terence Stace (1949–1950). Hartshorne began his address, “Chance, Love, and Incompatibility,” by announcing that each of the three principles named in his title apply universally to all reality. Chance and love have other categories with which they are incompatible, and still others that must be related (such as chance presupposing incompatibility and correlating with necessity), but Hartshorne was ultimately interested at the compatibilities between chance and love in mutual tension with each other. On the way to exploring that mutual compatibility, he discussed too many philosophical topics and puzzles to recount here. He did insist on a pragmatic view of knowledge, and the partial openness and particularity of the future, setting the stage for his affirmation of free will: </w:t>
      </w:r>
    </w:p>
    <w:p>
      <w:pPr>
        <w:ind w:left="446"/>
        <w:spacing w:before="100" w:beforeAutospacing="0" w:after="100" w:afterAutospacing="0" w:line="240" w:lineRule="auto"/>
        <w:widowControl/>
        <w:pStyle w:val="blockquote"/>
        <w:tabs>
          <w:tab w:val="clear" w:pos="215"/>
        </w:tabs>
      </w:pPr>
      <w:r>
        <w:t xml:space="preserve">We say that knowledge is for the sake of prediction and control. But prediction and control, if taken without qualification, exclude one another. One predicts an eclipse, but does not control it. One controls—from moment to moment—one’s conversational utterances, but just to this extent one does not predict them. To predict is to renounce further control; to hold open for control is to renounce prediction. If I predict what I shall say tomorrow, I imply that I shall tomorrow make no decisions concerning my speech; for the decisions must already have been made. If Beethoven had predicted one of his symphonies, he would have created it already; and if a psychologist had predicted it, he would have been just such a composer as Beethoven and assuredly no psychologist. The predicter of Newton must be at least a Newton. Such absurdities may help to teach us that—as Dewey has been contending for nearly half a century—the basic function of knowledge is not to focus a mental camera on the future but to discover what </w:t>
      </w:r>
      <w:r>
        <w:rPr>
          <w:i/>
        </w:rPr>
        <w:t>present</w:t>
      </w:r>
      <w:r>
        <w:t xml:space="preserve"> limited potentialities, that is to say, partial indeterminacies, are given for resolution in the future. The resolution itself will be the coming of the future, and to talk of predicting its form is to suppose that something can be settled while it is still unsettled. The object of knowledge is not the future as determinate, but present realities as materials from which alone the future can be made. (5:490–491)</w:t>
      </w:r>
    </w:p>
    <w:p>
      <w:pPr>
        <w:spacing w:line="240" w:lineRule="auto"/>
        <w:widowControl/>
        <w:pStyle w:val="BodyText"/>
      </w:pPr>
      <w:r>
        <w:t>What Karl Popper had pointed out in a conference paper in 1948 (but did not publish until years later</w:t>
      </w:r>
      <w:r>
        <w:rPr>
          <w:rStyle w:val="EndnoteReference"/>
        </w:rPr>
        <w:endnoteReference w:id="113"/>
      </w:r>
      <w:r>
        <w:t xml:space="preserve">) about prediction and prophecy in the social sciences, Hartshorne here proclaimed to be valid over the range of all possible human knowledge, including metaphysics. Human decisions are both concretizations of past contributing conditions and explorations of emerging potentials extending into the future. </w:t>
      </w:r>
    </w:p>
    <w:p>
      <w:pPr>
        <w:spacing w:line="240" w:lineRule="auto"/>
        <w:widowControl/>
        <w:pStyle w:val="BodyText2"/>
      </w:pPr>
      <w:r>
        <w:t>Love is a supreme value, but like everything else, it has no guaranteed reality and must take its chances, so to speak, with potentials and opportunity. “Tragedy is thus inherent in value” (5:502), and affirming love’s value is no exception, so no theodicy of perfection can be reckoned. All the same, the correlation of chance and love permits the (partial) realization of all human values that can be achieved. Chance and love can only receive ongoing mutual adjustment seeking the attainment of an ultimately aesthetic standard:</w:t>
      </w:r>
    </w:p>
    <w:p>
      <w:pPr>
        <w:ind w:left="446"/>
        <w:spacing w:before="100" w:beforeAutospacing="0" w:after="100" w:afterAutospacing="0" w:line="240" w:lineRule="auto"/>
        <w:widowControl/>
        <w:pStyle w:val="blockquote"/>
        <w:tabs>
          <w:tab w:val="clear" w:pos="215"/>
        </w:tabs>
      </w:pPr>
      <w:r>
        <w:t>This adjustment requires that destructive conflict arising from incompatibility of values should be mitigated without paying too high a price in loss of individuality, from which spontaneity, chance, and danger cannot be eliminated. It is through love that tragedy is, not indeed wholly prevented, but made bearable and given whatever beauty it is capable of. The love that can do this is that which expects to share with others the sufferings from which no actuality, human or superhuman—subject as all must be to chance and incompatibility—can entirely escape. Such love is not, as Plato thought, the search for the supreme beauty. In its highest human and superhuman forms it simply is that beauty. (5:503)</w:t>
      </w:r>
    </w:p>
    <w:p>
      <w:pPr>
        <w:spacing w:line="240" w:lineRule="auto"/>
        <w:widowControl/>
        <w:pStyle w:val="BodyText2"/>
      </w:pPr>
      <w:r>
        <w:t>Stace shall be permitted to have the last word of the decade for our survey of the 1940s. Regarding science itself, religion should no longer resist. Stace was more concerned for “Naturalism and Religion.” Shall the scientific worldview of naturalism, confident in its discoveries of so many interconnections among the universe’s phenomena, finally dismiss supernaturalism? Naturalism may try, but mystical experience still asserts a relationship with an utterly non-natural kind of reality, insisting that it alone connects with that reality in a way that no other mode of knowledge can. Religion must prove to be immune from absorption into the naturalistic web of explicable forces and events.</w:t>
      </w:r>
    </w:p>
    <w:p>
      <w:pPr>
        <w:spacing w:line="240" w:lineRule="auto"/>
        <w:widowControl/>
        <w:pStyle w:val="BodyText2"/>
      </w:pPr>
      <w:r>
        <w:t>Stace had a narrow view of what may count as religious experience, yet he expansively allows that most people may have a taste of it:</w:t>
      </w:r>
    </w:p>
    <w:p>
      <w:pPr>
        <w:ind w:left="446"/>
        <w:spacing w:before="100" w:beforeAutospacing="0" w:after="100" w:afterAutospacing="0" w:line="240" w:lineRule="auto"/>
        <w:widowControl/>
        <w:pStyle w:val="blockquote"/>
        <w:tabs>
          <w:tab w:val="clear" w:pos="215"/>
        </w:tabs>
      </w:pPr>
      <w:r>
        <w:t>Religious experience, at its highest point, is identical with mystical experience. And since practically all men are capable of religious experience in some degree, it follows that practically all men are capable of mystic experience in some degree. Although we usually class only a very few rare and very exceptional men as “mystics,” and the rest of us as non-mystics, yet there is in fact no such hard and fast line. It seems likely that the religious consciousness of the ordinary so-called non-mystic is in reality a lower degree of, or a diluted and perhaps impure version of, the mystic consciousness. (5:536)</w:t>
      </w:r>
    </w:p>
    <w:p>
      <w:pPr>
        <w:spacing w:line="240" w:lineRule="auto"/>
        <w:widowControl/>
        <w:pStyle w:val="BodyText"/>
      </w:pPr>
      <w:r>
        <w:t xml:space="preserve">The ineffability, non-rationality, and unnaturality of such experiences are fused together, not inferred. The ineffable must be unnatural and nonrational since the natural is conceptualizable (a precondition for rationality and naturality), but the mystical experience never is conceptualizable. </w:t>
      </w:r>
    </w:p>
    <w:p>
      <w:pPr>
        <w:spacing w:line="240" w:lineRule="auto"/>
        <w:widowControl/>
        <w:pStyle w:val="BodyText2"/>
      </w:pPr>
      <w:r>
        <w:t xml:space="preserve">However, what is devoid of conceptualization is not automatically devoid of any quality or positive reality in itself (as most of the world’s mystics themselves admit). Just because language must apply only sets of negations to the supernatural does not mean that the mystical experiences themselves consist of absences and negations. Why should mystical experiences conform to either positive or negative language, when they usually do have positive content, regardless of what any </w:t>
      </w:r>
      <w:r>
        <w:rPr>
          <w:i/>
        </w:rPr>
        <w:t>via negativa</w:t>
      </w:r>
      <w:r>
        <w:t xml:space="preserve"> theology might try to say about them? No apophatic theology could know that all mystical experiences are essentially quite similar in voidness, for the possibility of comparison requires applicable concepts, of which there are admittedly none. </w:t>
      </w:r>
    </w:p>
    <w:p>
      <w:pPr>
        <w:spacing w:line="240" w:lineRule="auto"/>
        <w:widowControl/>
        <w:pStyle w:val="BodyText2"/>
      </w:pPr>
      <w:r>
        <w:t xml:space="preserve">The mystic personally knows next to nothing about these experiences as well, but at least it can be understood what their content is not, and it is, by all accounts, not like natural conceptualized experience That is why letting these experiences gesture at the supernatural is still sensible and cannot be ruled out. That is also why letting mystics apply symbolism and metaphor must not be ruled as nonrational. </w:t>
      </w:r>
    </w:p>
    <w:p>
      <w:pPr>
        <w:spacing w:line="240" w:lineRule="auto"/>
        <w:widowControl/>
        <w:pStyle w:val="BodyText2"/>
      </w:pPr>
      <w:r>
        <w:t xml:space="preserve">Theology’s popular descriptions of God for laypeople are, therefore, just as much hostile to religious experience as any scientific naturalism. The symbolic language from mysticism is primarily about “the inner subjective experience of the mystic” (5:547), and will not necessarily reveal any objectivity or truth about the supernatural as well, even if mystics assume so. </w:t>
      </w:r>
    </w:p>
    <w:p>
      <w:pPr>
        <w:spacing w:line="240" w:lineRule="auto"/>
        <w:widowControl/>
        <w:pStyle w:val="BodyText2"/>
      </w:pPr>
      <w:r>
        <w:t>Nevertheless, Stace argued that despite its subjectivity:</w:t>
      </w:r>
    </w:p>
    <w:p>
      <w:pPr>
        <w:ind w:left="446"/>
        <w:spacing w:before="100" w:beforeAutospacing="0" w:after="100" w:afterAutospacing="0" w:line="240" w:lineRule="auto"/>
        <w:widowControl/>
        <w:pStyle w:val="blockquote"/>
        <w:tabs>
          <w:tab w:val="clear" w:pos="215"/>
        </w:tabs>
      </w:pPr>
      <w:r>
        <w:t xml:space="preserve">the value of the religious experience is intrinsic, and not merely instrumental; second, that it is sui generis, and cannot be reduced to moral or any other value; third, that it is the supreme value of human life, transcending all other values, precisely as the religious man claims. (5:550) </w:t>
      </w:r>
    </w:p>
    <w:p>
      <w:pPr>
        <w:spacing w:line="240" w:lineRule="auto"/>
        <w:widowControl/>
        <w:pStyle w:val="BodyText"/>
      </w:pPr>
      <w:r>
        <w:t xml:space="preserve">Once again, misguided theology is the greater obstacle to this affirmative mystical stance, by getting trapped into mistaken claims that the superiority of the mystical implies the unreality of the natural: </w:t>
      </w:r>
    </w:p>
    <w:p>
      <w:pPr>
        <w:ind w:left="446"/>
        <w:spacing w:before="100" w:beforeAutospacing="0" w:after="100" w:afterAutospacing="0" w:line="240" w:lineRule="auto"/>
        <w:widowControl/>
        <w:pStyle w:val="blockquote"/>
        <w:tabs>
          <w:tab w:val="clear" w:pos="215"/>
        </w:tabs>
      </w:pPr>
      <w:r>
        <w:t>I say that mystics do not necessarily object to a naturalistic and subjectivistic interpretation of the mystic experience; that there are world-religions which actually interpret it in precisely that way; and that therefore the common assertion that an objectivist interpretation is absolutely bound up with the religious consciousness and cannot be rejected without doing violence to that consciousness, is nothing but a Western or Christian provincialism, not essential to religion, and no necessary part of the universal religious spirit of man. (5:553)</w:t>
      </w:r>
    </w:p>
    <w:p>
      <w:pPr>
        <w:spacing w:line="240" w:lineRule="auto"/>
        <w:widowControl/>
        <w:pStyle w:val="BodyText2"/>
      </w:pPr>
      <w:r>
        <w:t>Stace then drew out the surprising implications to this overall stance toward religious experience: The subjectively mystical experience must affirm the supernatural, yet this subjectivity cannot dissolve or devalue the natural world. Mystics must be religious about their experiences, but those experiences are naturally human all the same. Therefore, it unnecessary for naturalism to reject religiosity, and religious naturalism is the common inheritance of humanity.</w:t>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r>
        <w:rPr>
          <w:color w:val="0000FF"/>
          <w:u w:val="single"/>
        </w:rPr>
        <w:fldChar w:fldCharType="begin"/>
        <w:instrText xml:space="preserve"> HYPERLINK \l "TABLE_OF_CONTENTS" </w:instrText>
        <w:fldChar w:fldCharType="separate"/>
      </w:r>
      <w:r>
        <w:rPr>
          <w:color w:val="0000FF"/>
          <w:u w:val="single"/>
        </w:rPr>
        <w:t>Return to TOC</w:t>
        <w:fldChar w:fldCharType="end"/>
      </w:r>
    </w:p>
    <w:p>
      <w:pPr>
        <w:widowControl/>
        <w:pStyle w:val="Heading1"/>
        <w:tabs>
          <w:tab w:val="left" w:pos="2430" w:leader="none"/>
        </w:tabs>
      </w:pPr>
      <w:r>
        <w:rPr>
          <w:caps/>
        </w:rPr>
      </w:r>
      <w:bookmarkStart w:id="150" w:name="An_Anxious_Age"/>
      <w:r>
        <w:rPr>
          <w:caps/>
        </w:rPr>
        <w:t>An Anxious Age</w:t>
      </w:r>
      <w:bookmarkEnd w:id="150"/>
      <w:r>
        <w:rPr>
          <w:caps/>
        </w:rPr>
        <w:t>: American Philosophy during the 1950</w:t>
      </w:r>
      <w:r>
        <w:t>s</w:t>
      </w:r>
    </w:p>
    <w:p>
      <w:pPr>
        <w:spacing w:after="160" w:afterAutospacing="0" w:line="240" w:lineRule="auto"/>
        <w:jc w:val="center"/>
        <w:pStyle w:val="BodyText"/>
        <w:rPr>
          <w:sz w:val="24"/>
        </w:rPr>
      </w:pPr>
      <w:r>
        <w:rPr>
          <w:sz w:val="24"/>
        </w:rPr>
        <w:t>Frank X. Ryan</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 xml:space="preserve">In faded Polaroid prints, the 1950s appears as a bucolic land of steeples, Studebakers, and white picket fences, family values and nosy neighbors, where indiscretions only happen behind closed doors and where atrocities afflict people only in far-away places. For American intellectuals of the period, the prevailing sense was quite different. These were the younger siblings of the “Lost Generation”: too young to remember the hope and optimism vanquished by the War to End All Wars, yet charged with the unenviable task of piecing together a world shattered by two conflagrations. They faced not flack puffs in their skies, but mushroom clouds in their nightmares; not the overt threat of invading armies, but a vague “Communist menace” who could be your neighbor, or you if your neighbor was sufficiently paranoid. Obsessed with the ideal of social justice, they remained largely oblivious to the oppression of minorities, women, and the poor in their midst. This generation did not have the romantic luxury of declaring itself lost; it was just anxious and adrift. </w:t>
      </w:r>
    </w:p>
    <w:p>
      <w:pPr>
        <w:spacing w:line="240" w:lineRule="auto"/>
        <w:widowControl/>
        <w:pStyle w:val="BodyText2"/>
      </w:pPr>
      <w:r>
        <w:t xml:space="preserve">The addresses of The American Philosophical Association presidents collected in Volume 6 of the Centennial Series expressed the indecision and transience of the times. As Dilman Walter Gotshalk (1950–1951) observed, “today, philosophy seems to be in a lull. The greatest living philosophers are venerable older men whose main work is done, and the younger men have not yet grown to greatness” (6:48). </w:t>
      </w:r>
    </w:p>
    <w:p>
      <w:pPr>
        <w:spacing w:line="240" w:lineRule="auto"/>
        <w:widowControl/>
        <w:pStyle w:val="BodyText2"/>
      </w:pPr>
      <w:r>
        <w:t xml:space="preserve">John Dewey (1905–1906), George Santayana, and Ludwig Wittgenstein all died during the decade, and, with the exception of Willard Van Orman Quine (1957–1958) and Clarence Irving Lewis (1933–1934; 1954–1955), the leading American philosophers—Sidney Hook (1959–1960), Ernest Nagel (1954–1955), John Herman Randall Jr. (1956–1957), Max Harold Fisch (1955–1956), Max Black (1958–1959), Oets Kolk Bouwsma (1956–1957), Abraham Kaplan (1958–1959), Paul Arthur Schilpp (1958–1959), and Arthur Edward Murphy (1950–1951)—were all their predecessors’ standard-bearers. </w:t>
      </w:r>
    </w:p>
    <w:p>
      <w:pPr>
        <w:spacing w:line="240" w:lineRule="auto"/>
        <w:widowControl/>
        <w:pStyle w:val="BodyText2"/>
      </w:pPr>
      <w:r>
        <w:t>These presidents made up for what they lacked in originality with scope, breadth, and diversity. Nine of the thirty contributors were foreign born, and beyond the familiar American motifs of naturalism, realism, and pragmatism are themes extending to logical positivism, ordinary language philosophy, existentialism, phenomenology, Asian philosophy, and Soviet jurisprudence. Some used the occasion of their addresses to present their current research; others reached for larger, integrative themes. There were gut-wrenchers, like Melvin Miller Rader’s (1953–1954) impassioned plea for the renewal of the human community, and gut-busters like Randall’s biting send-up of logical positivism. Even the more technical pieces, however, are uniformly interesting and accessible, geared for verbal presentation and non-specialists.</w:t>
      </w:r>
    </w:p>
    <w:p>
      <w:pPr>
        <w:spacing w:before="100" w:beforeAutospacing="0" w:after="100" w:afterAutospacing="0"/>
        <w:jc w:val="center"/>
        <w:pStyle w:val="NoSpacing"/>
      </w:pPr>
      <w:r>
        <w:rPr>
          <w:b/>
        </w:rPr>
        <w:t>2. Philosophy in the 1950s</w:t>
      </w:r>
    </w:p>
    <w:p>
      <w:pPr>
        <w:spacing w:line="240" w:lineRule="auto"/>
        <w:widowControl/>
        <w:pStyle w:val="BodyText"/>
      </w:pPr>
      <w:r>
        <w:t>No one sets the tone for this anxious age more poignantly than Gotshalk. In “Twentieth Century Theme,” he observed that in spite of an array of technological marvels, “a note of grimness, harshness, and disenchantment” had worked its way into the national psyche. The optimism at the opening of the century had succumbed to a pervasive anxiety, dread, and a “narcissistic enchantment with Nothingness” (6:41).</w:t>
      </w:r>
    </w:p>
    <w:p>
      <w:pPr>
        <w:spacing w:line="240" w:lineRule="auto"/>
        <w:widowControl/>
        <w:pStyle w:val="BodyText2"/>
      </w:pPr>
      <w:r>
        <w:t xml:space="preserve">Modern philosophy first embraced materialism and Newtonian physics, then shifted to a buoyant objective idealism geared to becoming and process. In the twentieth century, however, neither substance nor flux seemed sufficient to account for the complexities of nature, nor did their mere interaction. Instead, insisted Gotshalk, existence is manifest in the complex interdependence of stability and change, where “relation” itself becomes the essence of being. Human affairs, too, must be reexamined in terms of relations played out on the world stage as conflicts between creativity and control, innovation and stagnation, the visionary and the reactionary. To sort this out, to suggest the shape of a proper balance, philosophy must shed its fashionable skin of over-specialization and open itself to the “telic actualities and possibilities in all domains of current human existence” (6:50). </w:t>
      </w:r>
    </w:p>
    <w:p>
      <w:pPr>
        <w:spacing w:line="240" w:lineRule="auto"/>
        <w:widowControl/>
        <w:pStyle w:val="BodyText2"/>
      </w:pPr>
      <w:r>
        <w:t>Hook shared Gotshalk’s sense of the tragic in philosophy, but suggested a different way to channel it. A Jewish immigrant and renowned political activist, his initial enthusiasm for Communism soured with the harsh realities of the Soviet dictatorship. In “Pragmatism and the Tragic Sense of Life,” he asked, “What, if anything, has philosophy to tell us about the human condition, about the fate of man and his works?” (6:559). On one hand, there is no dearth of moralizers eager to take up the cause of “the human condition” and loudly proclaim that they have the answer. On the other hand, moralists who use reason and language to set a program of action are in short supply. To become relevant to a given discipline, philosophy must not merely heap platitudes upon it; it must become thoroughly familiar with its details. At the same time, it must connect concrete practices with the ways of the world at large, which we call metaphysics. This is what Dewey called “critical philosophy of social life,”</w:t>
      </w:r>
      <w:r>
        <w:rPr>
          <w:rStyle w:val="EndnoteReference"/>
        </w:rPr>
        <w:endnoteReference w:id="114"/>
      </w:r>
      <w:r>
        <w:t xml:space="preserve"> and what Hook called “philosophy as </w:t>
      </w:r>
      <w:r>
        <w:rPr>
          <w:i/>
        </w:rPr>
        <w:t xml:space="preserve">normative </w:t>
      </w:r>
      <w:r>
        <w:t xml:space="preserve">social inquiry” (6:562). </w:t>
      </w:r>
    </w:p>
    <w:p>
      <w:pPr>
        <w:spacing w:line="240" w:lineRule="auto"/>
        <w:widowControl/>
        <w:pStyle w:val="BodyText2"/>
      </w:pPr>
      <w:r>
        <w:t xml:space="preserve">Hook pointed out that pragmatism had long valued social inquiry as the primary mission of philosophy. Less touted is its involvement with the tragic aspects of human existence, though no philosophy is properly called “social” without such engagement. Unlike other traditions, pragmatism does not identify tragedy primarily with sickness, old age, or death. Technology is alleviating the burdens of illness and decrepitude, and Socrates’s notion of death as part of life seems preferable to wallowing in morbidity. Moreover, noted Hook, the possibility of death breathes freedom into life: “It is nobler to exist and struggle in a world in which there is always a vital option to live or die” (6:566). Choosing to live is a commitment to making things better; should we fail in this endeavor, death is the solace that no evil or suffering lasts forever. </w:t>
      </w:r>
    </w:p>
    <w:p>
      <w:pPr>
        <w:spacing w:line="240" w:lineRule="auto"/>
        <w:widowControl/>
        <w:pStyle w:val="BodyText2"/>
        <w:rPr>
          <w:i/>
        </w:rPr>
      </w:pPr>
      <w:r>
        <w:t xml:space="preserve">Pragmatism’s tragic sense is fully revealed in its commitment to moral deliberation. As Hook noted, asking “What should I do?” primarily occurs in situations where one perceived good conflicts with another, and the rejected good is what we come to call evil (6:566). With goods that are complex or momentous—the basic choices of love, friendship and vocation—the sense of tragedy is pronounced. “We have sacrificed to become what we are,” Hook reminded us, in experiences that permanently transform us (6:567). More dramatic still are social dilemmas where the rights of the few conflict with the good of the many. Our utmost moral duty, accordingly, is to be </w:t>
      </w:r>
      <w:r>
        <w:rPr>
          <w:i/>
        </w:rPr>
        <w:t xml:space="preserve">conscientious </w:t>
      </w:r>
      <w:r>
        <w:t xml:space="preserve">in critical deliberation and consequent action. Ultimately, pragmatism’s appreciation of tragedy is more serious and heroic than other approaches because it neither resigns itself to tragedy nor takes an easy way out, but instead takes responsibility for continued living without yielding to despair. </w:t>
      </w:r>
    </w:p>
    <w:p>
      <w:pPr>
        <w:spacing w:line="240" w:lineRule="auto"/>
        <w:widowControl/>
        <w:pStyle w:val="BodyText2"/>
      </w:pPr>
      <w:r>
        <w:t xml:space="preserve">In “The Philosopher’s Commitment,” Philip Blair Rice (1952–1953) preached a more personal route to philosophical redemption. He reminded us of Plato’s dual challenge to philosophers: (1) honor philosophy itself—seek truth and wisdom, and (2) “return to the cave,” using the wisdom obtained in doing so to promote the intellectual and physical improvement of humankind (6:170). We might disagree about how successfully any given contemporary philosopher, such as Sartre, balances these obligations. Nevertheless, said Rice, the only obvious way to display our commitment to philosophy is by “continuing to do the general kinds of things we are doing already in our professional capacities” (6:174). This means we acknowledge circumstances in which philosophers are justified in retreating to their towers for long periods, or perhaps even a lifetime. However, philosophers, by nature, are normative animals, and simply by following their professional instincts they cannot help but express a concern for truth and justice. “To maintain standards of honest learning, courageous thinking and conscientious teaching” (6:180) amid the growing “hysterical atmosphere,” offers Rice, is sufficient to meet our responsibility. </w:t>
      </w:r>
    </w:p>
    <w:p>
      <w:pPr>
        <w:spacing w:line="240" w:lineRule="auto"/>
        <w:widowControl/>
        <w:pStyle w:val="BodyText2"/>
      </w:pPr>
      <w:r>
        <w:t xml:space="preserve">In “The Abdication of Philosophy,” Schilpp renounced any tendency to accede to the status quo. In an age where our planet is threatened with nuclear annihilation, most erstwhile “lovers of wisdom” are not content merely with “business as usual,” but strive for business increasingly relegated to the manipulation of language. Indeed, given that wisdom resists strict verification and classification, most philosophers avoid discussing it, thus effectively abdicating philosophy’s historic mission. While scientists had raised their voices against the nuclear arms race, philosophers had largely remained silent. This detachment had become institutionalized by an emphasis on research, where teaching is at best a necessary evil. </w:t>
      </w:r>
    </w:p>
    <w:p>
      <w:pPr>
        <w:spacing w:line="240" w:lineRule="auto"/>
        <w:widowControl/>
        <w:pStyle w:val="BodyText2"/>
      </w:pPr>
      <w:r>
        <w:t>According to Schilpp, this did not mean that philosophers should do less thinking and more acting. Actually, they should do more of both as they figure out how to apply abstract ideas to concrete social problems. Schilpp reminded his audience that Dewey embodied the notion that thinking is for the sake of action, and that the purpose of wisdom is to influence the conduct of life (6:535). One cannot do political theory without a deeper grounding in the social, which, in turn, invokes an entire world view. Attention to the technical details of such a view is important, but that is not the point or purpose of such analysis. Instead, as Dewey said, “philosophy recovers itself when it ceases to be a device for dealing with the problems of philosophers and becomes a method, cultivated by philosophers, for dealing with the problems of men.”</w:t>
      </w:r>
      <w:r>
        <w:rPr>
          <w:rStyle w:val="EndnoteReference"/>
        </w:rPr>
        <w:endnoteReference w:id="115"/>
      </w:r>
    </w:p>
    <w:p>
      <w:pPr>
        <w:spacing w:line="240" w:lineRule="auto"/>
        <w:widowControl/>
        <w:pStyle w:val="BodyText2"/>
      </w:pPr>
      <w:r>
        <w:t xml:space="preserve">Echoing Schilpp’s activism was Randall, who, in the witty and sardonic “Talking and Looking,” reminded us that experience is historic, pluralistic, and personal. Prior to the arrival of the logical positivists in America, there was a genial competition among idealists, realists, and pragmatists for the possession of truth. Though they disagreed, they respected each other’s viewpoints and, to varying degrees, benefited from them. The positivists, however, had imposed a narrow sectarianism. They cited only their own works and brushed off other views as “meaningless.” Any foray beyond the formal analysis of language, such as science or history, is deemed not just wrong, but “unphilosophical.” Of course, such dismissals are not meant to be discussed or defended, since they too are just “emotive” utterances. “One can at least understand why Stalin was interested in censoring critical thinking. But why should we be concerned to censor ourselves?” (6:355). </w:t>
      </w:r>
    </w:p>
    <w:p>
      <w:pPr>
        <w:spacing w:line="240" w:lineRule="auto"/>
        <w:widowControl/>
        <w:pStyle w:val="BodyText2"/>
      </w:pPr>
      <w:r>
        <w:t xml:space="preserve">While being mindful of philosophers’ mistakes of the past, linguistic and otherwise, Randall insisted that philosophers of vision can still engage in metaphysics and “speculative” philosophy. Philosophy will be richer to the extent it can overcome its self-imposed intellectual isolation and engage science, religion, humanity, and art. This is preferable to simply talking about talk. Far from tethering ourselves to “ordinary language,” we should promote the cult of “extraordinary language,” whose masters include Aristotle, Hegel, Peirce, Alfred North Whitehead (1931–1932), and Heidegger. Or, better yet, we should see for ourselves, since looking is more decisive than talking. </w:t>
      </w:r>
    </w:p>
    <w:p>
      <w:pPr>
        <w:spacing w:line="240" w:lineRule="auto"/>
        <w:widowControl/>
        <w:pStyle w:val="BodyText2"/>
      </w:pPr>
      <w:r>
        <w:t xml:space="preserve">Randall reminded us that Bertrand Russell clung to traditional empiricism’s associationalist psychology nearly a half century after the classical pragmatists renounced it. Only at the time he spoke was mathematical logic and the “picture” theory of the early Wittgenstein giving way to “a genuinely functional theory of meaning” (6:359) where the meaning of language “now consists in the way it is used, the role it plays, the job it does” (6:359). Randall hoped that this signified the end of positivism’s narrow sectarianism, and a new willingness to “cooperate fruitfully with the other critical currents of our time” (6:360). </w:t>
      </w:r>
    </w:p>
    <w:p>
      <w:pPr>
        <w:spacing w:line="240" w:lineRule="auto"/>
        <w:widowControl/>
        <w:pStyle w:val="BodyText2"/>
      </w:pPr>
      <w:r>
        <w:t xml:space="preserve">Another advocate of broad philosophical engagement, Fisch, in “The Critic of Institutions,” chided Whitehead’s claim that philosophy should set forth abstractions that complete and synthesize the methods of the special sciences. He found this position excessive, given that scientific proliferation is the antithesis of “synthesis,” and too limiting, inasmuch as the scope of philosophy far outstrips that of science alone. Instead, he proposed that philosophy should become generally critical of institutions, of which the sciences are but one kind. An institution identifies a common purpose that promotes some connected set of present and future activities. In one way or another, every human value is conditioned by institutions. As Aristotle noted, institutions came into being so that we might live, and they are modified and compounded so that we might live well: Institutions “are the conditions and means of those activities in which the good life consists in that society” (6:332). </w:t>
      </w:r>
    </w:p>
    <w:p>
      <w:pPr>
        <w:spacing w:line="240" w:lineRule="auto"/>
        <w:widowControl/>
        <w:pStyle w:val="BodyText2"/>
      </w:pPr>
      <w:r>
        <w:t xml:space="preserve">Fisch found it no exaggeration to say that philosophy began in civic, rather than cosmic, wonder. The most enduring theme in the history of philosophy has been the relation between nature and institutions. Virtually every other problem—fact and value, matter and form, body and mind—is a variant of this. Moreover, while the natural sciences have only a peripheral relation to philosophy in the present day, philosophy remains integral to the social sciences. Every institution, including language, is a concern of the social sciences, yet the social sciences need philosophy to resolve confusions within their functions, methods, and concepts. </w:t>
      </w:r>
    </w:p>
    <w:p>
      <w:pPr>
        <w:spacing w:line="240" w:lineRule="auto"/>
        <w:widowControl/>
        <w:pStyle w:val="BodyText2"/>
      </w:pPr>
      <w:r>
        <w:t xml:space="preserve">While Randall and Fisch reflected the strong antipathy most division presidents had toward positivism, David Rynin (1956–1957) struck a conciliatory note. Playfully titling his address “Vindication of L*G*C*L P*S*T*V*SM,” he conceded the stigma of its very utterance. While he, too, forswore positivists who just “talk about talk” and enjoy trashing metaphysics and ethics, he limited his discussion to the connection between truth and verifiability. It is self-evident that no statement is meaningful unless there exists either a sufficient condition of it being true or a necessary condition of it being false. However, to claim we know </w:t>
      </w:r>
      <w:r>
        <w:rPr>
          <w:i/>
        </w:rPr>
        <w:t>the</w:t>
      </w:r>
      <w:r>
        <w:t xml:space="preserve"> meaning of</w:t>
      </w:r>
      <w:r>
        <w:rPr>
          <w:i/>
        </w:rPr>
        <w:t xml:space="preserve"> </w:t>
      </w:r>
      <w:r>
        <w:t xml:space="preserve">a statement, we must be able to assert </w:t>
      </w:r>
      <w:r>
        <w:rPr>
          <w:i/>
        </w:rPr>
        <w:t xml:space="preserve">both </w:t>
      </w:r>
      <w:r>
        <w:t xml:space="preserve">the sufficient and necessary conditions of its truth or falsity. For Rynin, this showed that we can know what conditions a statement must have to be meaningful without knowing its actual meaning, or even whether it has one. To confuse being meaningful with having to deliver a determinate meaning is the source of the unwarranted criticism directed at verificationism. The principle demands only that a statement must be verifiable in order to be meaningful; it doesn’t make the excessive additional demand that verification must deliver some fixed and final meaning. </w:t>
      </w:r>
    </w:p>
    <w:p>
      <w:pPr>
        <w:spacing w:line="240" w:lineRule="auto"/>
        <w:widowControl/>
        <w:pStyle w:val="BodyText2"/>
      </w:pPr>
      <w:r>
        <w:t xml:space="preserve">Though less contentious than logical positivism, existentialism had a limited American following in the 1950s. Philip Merlan (1959–1960) saw existentialism as comparable to pragmatism in its call to commitment and social activism. Throughout recorded time, students of human nature have been stymied by the dual traps of objectivism and relativism. Cultural differences and the vagaries of being human undermine claims to objective values, but relativism is corrosive and ultimately unsatisfactory. Some have tried to find a middle ground in sheer commitment: My justification may be no better than yours, but it’s </w:t>
      </w:r>
      <w:r>
        <w:rPr>
          <w:i/>
        </w:rPr>
        <w:t>mine—</w:t>
      </w:r>
      <w:r>
        <w:t xml:space="preserve">fighting for it makes it worthwhile. Though noble, this is clearly perverse, given that means do not justify ends. </w:t>
      </w:r>
    </w:p>
    <w:p>
      <w:pPr>
        <w:spacing w:line="240" w:lineRule="auto"/>
        <w:widowControl/>
        <w:pStyle w:val="BodyText2"/>
      </w:pPr>
      <w:r>
        <w:t xml:space="preserve">When we narrow our focus from values in general to what we can </w:t>
      </w:r>
      <w:r>
        <w:rPr>
          <w:i/>
        </w:rPr>
        <w:t>know</w:t>
      </w:r>
      <w:r>
        <w:t>,</w:t>
      </w:r>
      <w:r>
        <w:rPr>
          <w:i/>
        </w:rPr>
        <w:t xml:space="preserve"> </w:t>
      </w:r>
      <w:r>
        <w:t xml:space="preserve">the problem grows even more acute. If all claims are radically contingent, then nothing is secure, and we wander forever in darkness. To escape such relativism, </w:t>
      </w:r>
      <w:r>
        <w:rPr>
          <w:i/>
        </w:rPr>
        <w:t xml:space="preserve">something </w:t>
      </w:r>
      <w:r>
        <w:t xml:space="preserve">must ultimately matter, asserted Merlan, “something on which man’s salvation and damnation depend” (6:594). Rationalists have long enshrined this as some universal human characteristic that transcends our particularity. In the realm of moral action, this is manifest in the general will or a categorical imperative; in the realm of contemplation, it is an </w:t>
      </w:r>
      <w:r>
        <w:rPr>
          <w:i/>
        </w:rPr>
        <w:t>intellectus actives</w:t>
      </w:r>
      <w:r>
        <w:t>,</w:t>
      </w:r>
      <w:r>
        <w:rPr>
          <w:i/>
        </w:rPr>
        <w:t xml:space="preserve"> </w:t>
      </w:r>
      <w:r>
        <w:t xml:space="preserve">or universal intelligence. Merlan asserted that some Marxists and Freemasons who “approvingly understand” his point (6:596). </w:t>
      </w:r>
    </w:p>
    <w:p>
      <w:pPr>
        <w:spacing w:line="240" w:lineRule="auto"/>
        <w:widowControl/>
        <w:pStyle w:val="BodyText2"/>
      </w:pPr>
      <w:r>
        <w:t xml:space="preserve">Merlan conceded that the quest for a universal intelligence, where all sing the cosmic chorus in unison, is opposed by romantics, for example Friedrich Schleiermacher and Kierkegaard, who champion particulars over universals: In perfecting what is uniquely mine, I achieve truth by singing the song only I can sing. Existentialism champions this particularism without imposing essential intelligence or any such absolute. Man is the sum total of his accidents. </w:t>
      </w:r>
    </w:p>
    <w:p>
      <w:pPr>
        <w:spacing w:line="240" w:lineRule="auto"/>
        <w:widowControl/>
        <w:pStyle w:val="BodyText2"/>
      </w:pPr>
      <w:r>
        <w:t xml:space="preserve">Saying I begin in absolute relativism, that I am </w:t>
      </w:r>
      <w:r>
        <w:rPr>
          <w:i/>
        </w:rPr>
        <w:t xml:space="preserve">free </w:t>
      </w:r>
      <w:r>
        <w:t xml:space="preserve">to make myself, means that I am actually saying that I determine myself. For Heidegger, this is the awareness of being-itself, the true task of each human individual. However, it is also the avatar of Hegel’s absolute—that the particularity of my self-creation is what I acknowledge as the absolute, of being-itself. What stands as a non-relativistic truth for all seekers in all ages thus amounts to this: In the fact of our contingency is the confirmation of the absolute. </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3. Realism, Naturalism, Pragmatism</w:t>
      </w:r>
    </w:p>
    <w:p>
      <w:pPr>
        <w:spacing w:line="240" w:lineRule="auto"/>
        <w:widowControl/>
        <w:pStyle w:val="BodyText"/>
      </w:pPr>
      <w:r>
        <w:t xml:space="preserve">Amid the travails of the World War II, philosophers such as William Ernest Hocking (1926–1927; 1927–1928), Elijah Jordan (1941–1943), Charles William Hendel (1940–1941), and John Elof Boodin (1912–1913; 1933–1934) brought comfort by way of a revival of rationalism, idealism, and religiosity. By the 1950s, however, the previously dominant stalks of realism, naturalism, and pragmatism had again taken root. Students of Whitehead, Ralph Barton Perry (1920–1921), Roy Wood Sellars (1923–1924), and Dewey were at the height of their power and influence. Some, like Randall, perceived an opportunity to renew the philosophical competition temporarily interrupted by absolutists and positivists. </w:t>
      </w:r>
    </w:p>
    <w:p>
      <w:pPr>
        <w:spacing w:line="240" w:lineRule="auto"/>
        <w:widowControl/>
        <w:pStyle w:val="BodyText2"/>
      </w:pPr>
      <w:r>
        <w:t xml:space="preserve">Lewis’s early work in strict implication and modal logic eventually broadened into what others have labeled as a “conceptual” pragmatism. In “Realism or Phenomenalism?,” Lewis worried that the perennial questions of philosophy were becoming lost in the minutia of language analysis and the meaning of meaning. Among the most important of these is problem of objective reference. Though it straddles both metaphysics and epistemology, the problem must be formulated exclusively in terms of experience, since “there is nothing beyond experience which can be adduced for our inspection” (6:244). This does not mean that objective reference is futile, since empirical knowledge is impossible without it. But it does suggest that it must be approached in terms of “characters and relations within cognitive experience itself” (6:245). The metaphysical inference that thought refers only to its own content, however, is the fallacy of phenomenalism. The mere credibility of empirical evidence does nothing to establish the </w:t>
      </w:r>
      <w:r>
        <w:rPr>
          <w:i/>
        </w:rPr>
        <w:t xml:space="preserve">truth </w:t>
      </w:r>
      <w:r>
        <w:t xml:space="preserve">of any claim, which involves the subject-object relation. </w:t>
      </w:r>
    </w:p>
    <w:p>
      <w:pPr>
        <w:spacing w:line="240" w:lineRule="auto"/>
        <w:widowControl/>
        <w:pStyle w:val="BodyText2"/>
      </w:pPr>
      <w:r>
        <w:t xml:space="preserve">Accordingly, “independent reality is not something to be proved but an original acknowledgment which all men make confronting the facts of life” (6:246)—an “independent factuality” (6:247) that forces itself upon our will yet is amenable to our manipulation. Even George Berkeley supposes such an independent reality, though he conceives it as the content of God’s mind, as does Absolute idealism on an even grander scale. Like phenomenalism, idealism does not resolve the problem of objective reference posed by empirical realism, it merely defers the objective to the realm of a cosmic intellect. </w:t>
      </w:r>
    </w:p>
    <w:p>
      <w:pPr>
        <w:spacing w:line="240" w:lineRule="auto"/>
        <w:widowControl/>
        <w:pStyle w:val="BodyText2"/>
      </w:pPr>
      <w:r>
        <w:t xml:space="preserve">An even deeper pragmatic naturalism is pursued by Nagel, who “combined Peirce’s logical pragmatic method with the logical positivism of the Vienna Circle” (6:257). In “Naturalism Reconsidered,” Nagel echoed Lewis’s concern that philosophy had become specialized, piecemeal, and increasingly constrained by scientific findings and methods. However, he noted, philosophers continue to pursue grand ideas that cannot be ignored. Conversely, specialized studies have led to results applicable to human nature and the cosmos itself. </w:t>
      </w:r>
    </w:p>
    <w:p>
      <w:pPr>
        <w:spacing w:line="240" w:lineRule="auto"/>
        <w:widowControl/>
        <w:pStyle w:val="BodyText2"/>
      </w:pPr>
      <w:r>
        <w:t xml:space="preserve">This integration of the broad and the specific supports a naturalistic outlook inclusive of a general account of the universe, our place in it, and a logic of inquiry. It is not a set of specific ideas or theories, but an expansive outlook that, first and foremost affirms “spatio-temporally located bodies, whose internal structures and external relations determine and limit the appearance and disappearance of everything that happens.” Events, relations, behaviors, and meanings, while real, are contingent upon these basic physical structures. Such structures, moreover, are plural and rudimentary: while cast in </w:t>
      </w:r>
      <w:r>
        <w:rPr>
          <w:i/>
        </w:rPr>
        <w:t xml:space="preserve">real </w:t>
      </w:r>
      <w:r>
        <w:t>systems of organization, including progressive systems of life and humanity, they are not manifestations of some underlying homogenous or telic “ultimate reality” (6:262).</w:t>
      </w:r>
    </w:p>
    <w:p>
      <w:pPr>
        <w:spacing w:line="240" w:lineRule="auto"/>
        <w:widowControl/>
        <w:pStyle w:val="BodyText2"/>
      </w:pPr>
      <w:r>
        <w:t xml:space="preserve">Nature, accordingly, is neither our facilitating “home” nor an implacable foe that has doomed us to extinction. Human beings are indeed “continuous” with other manifestations of organic and inorganic organization, but this does not justify the claim that we are either the “end” of nature nor its most adequate or august manifestation. Human history is a </w:t>
      </w:r>
      <w:r>
        <w:rPr>
          <w:i/>
        </w:rPr>
        <w:t xml:space="preserve">human </w:t>
      </w:r>
      <w:r>
        <w:t xml:space="preserve">phenomena: Our ultimate success or failure depends upon how wisely we choose hypotheses and balance the exercise of our powers. </w:t>
      </w:r>
    </w:p>
    <w:p>
      <w:pPr>
        <w:spacing w:line="240" w:lineRule="auto"/>
        <w:widowControl/>
        <w:pStyle w:val="BodyText2"/>
      </w:pPr>
      <w:r>
        <w:t xml:space="preserve">Virgil Charles Aldrich (1957–1958) was eager to expand this naturalistic outlook into the realms of imagination, aesthetics, and volition. In “Chess Not without the Queen,” he noted that although the return to ordinary language has broadened the game of philosophy beyond the narrow strictures of positivism, philosophers were still playing chess without the queen—whose full utilization requires talk of </w:t>
      </w:r>
      <w:r>
        <w:rPr>
          <w:i/>
        </w:rPr>
        <w:t xml:space="preserve">things </w:t>
      </w:r>
      <w:r>
        <w:t xml:space="preserve">and </w:t>
      </w:r>
      <w:r>
        <w:rPr>
          <w:i/>
        </w:rPr>
        <w:t xml:space="preserve">objects </w:t>
      </w:r>
      <w:r>
        <w:t>beyond mere talk about language. “There is the field, and there are the things in it. This is reality” (6:460). As constrained by language, things appear as objects, their natures and characteristics determined by the methods of the natural sciences. Observation is the coin of the realm of scientific ascertainment. Imagination actualizes reality in the realm of the aesthetic, and volition specifies things in terms of values, purposes, and the sacred. Descriptive metaphysics offers a neutral way to invoke fields and things without implicating them in any of these three categories.</w:t>
      </w:r>
    </w:p>
    <w:p>
      <w:pPr>
        <w:spacing w:line="240" w:lineRule="auto"/>
        <w:widowControl/>
        <w:pStyle w:val="BodyText2"/>
      </w:pPr>
      <w:r>
        <w:t xml:space="preserve">Quine’s early contributions to mathematical logic later blossomed into sweeping critiques of ontology and meaning. In “Speaking of Objects,” Quine noted that the seemingly positive response of natives to a linguist who says “rabbit!” while pointing to one, is not indicative that they share his meaning. Their understanding of “rabbit!” might be akin to “undetached rabbit parts” or something even more alien to the linguist’s sensibilities. Even if the linguist then gets creative—looking for patterns of affirmation and other behavioral cues in multiple contexts, he ineluctably imposes his own ontology onto whatever translation is ultimately deemed most likely or workable. To a lesser degree, the same incommensurability of meaning occurs among native speakers of the same language: When we agree that we understand each other, that does not mean we all share an identical conceptual scheme, but only that the coordination between our verbal cues and consequent actions are adequate to our expectations (6:437–440). </w:t>
      </w:r>
    </w:p>
    <w:p>
      <w:pPr>
        <w:spacing w:line="240" w:lineRule="auto"/>
        <w:widowControl/>
        <w:pStyle w:val="BodyText2"/>
      </w:pPr>
      <w:r>
        <w:t xml:space="preserve">That the communication of meaning is always indeterminate to some degree does not mean we cannot develop a viable theory of its emergence and use. In developing language, young children initially regard “mother,” “water,” and “red” as equally thing-like, only later learning to discriminate, respectively, enduring existences, scattered substances, and distributed properties. But it is mastery of individuating terms, such as “apple,” that marks our initiation into the nuanced realm of classes and class-membership, of what it ultimately means to know objects. </w:t>
      </w:r>
    </w:p>
    <w:p>
      <w:pPr>
        <w:spacing w:line="240" w:lineRule="auto"/>
        <w:widowControl/>
        <w:pStyle w:val="BodyText2"/>
      </w:pPr>
      <w:r>
        <w:t>Quine is often viewed as a philosopher who synthesized elements of pragmatism and positivism. Following this path quite literally, Paul Henle (1953–1954) was raised in Cleveland and earned both his undergraduate and graduate degrees from Harvard, where he studied symbolic logic under Clarence Irving Lewis 1933–1934; 1954–1955). In “The Problem of Meaning,” Henle noted that neither pragmatic nor positivist theories of meaning have been hailed as wildly successful; they have “come to a standstill,” so perhaps it’s time to shake things up. He aimed to “discuss . . . the next step in their development” (6:230). Henle explained that the theories he was about to discuss:</w:t>
      </w:r>
    </w:p>
    <w:p>
      <w:pPr>
        <w:ind w:left="446"/>
        <w:spacing w:before="100" w:beforeAutospacing="0" w:after="100" w:afterAutospacing="0" w:line="240" w:lineRule="auto"/>
        <w:widowControl/>
        <w:pStyle w:val="blockquote"/>
        <w:tabs>
          <w:tab w:val="clear" w:pos="215"/>
        </w:tabs>
      </w:pPr>
      <w:r>
        <w:t>all maximize the linguistic element in theory of meaning. They not merely take language as the typical or even the only case of meaning to be considered, but also they treat linguistic meaning, . . . within language itself. For this purpose, one type of statement is singled out, and meanings of other statements are explained in terms of the meaning of these. (6:230)</w:t>
      </w:r>
    </w:p>
    <w:p>
      <w:pPr>
        <w:spacing w:line="240" w:lineRule="auto"/>
        <w:widowControl/>
        <w:pStyle w:val="BodyText"/>
      </w:pPr>
      <w:r>
        <w:t>He defined two types of statements that can be subjected to verification criteria:</w:t>
      </w:r>
    </w:p>
    <w:p>
      <w:pPr>
        <w:ind w:left="446"/>
        <w:spacing w:before="100" w:beforeAutospacing="0" w:after="100" w:afterAutospacing="0" w:line="240" w:lineRule="auto"/>
        <w:widowControl/>
        <w:pStyle w:val="blockquote"/>
        <w:tabs>
          <w:tab w:val="clear" w:pos="215"/>
        </w:tabs>
      </w:pPr>
      <w:r>
        <w:t xml:space="preserve">statements to which everything else is reduced </w:t>
      </w:r>
      <w:r>
        <w:rPr>
          <w:i/>
        </w:rPr>
        <w:t>observation</w:t>
      </w:r>
      <w:r>
        <w:t xml:space="preserve"> statements. . . . The reason for this choice of terms is obvious: the observation statements are such that their truth is easily ascertainable by observation, and in fact they are supposed to be nothing more than reports of observations. Statements which are not observation statements, that is, statements which reduce to observation statements, I shall refer to simply as </w:t>
      </w:r>
      <w:r>
        <w:rPr>
          <w:i/>
        </w:rPr>
        <w:t>ordinary</w:t>
      </w:r>
      <w:r>
        <w:t xml:space="preserve"> statements. (6:230)</w:t>
      </w:r>
    </w:p>
    <w:p>
      <w:pPr>
        <w:spacing w:line="240" w:lineRule="auto"/>
        <w:widowControl/>
        <w:pStyle w:val="BodyText2"/>
      </w:pPr>
      <w:r>
        <w:t>Henle’s primary concern was to counter the positivists’ tendency to reduce all statements to observation statements. For example, statements such as “Jamal is politically astute” or “Wendy is of high moral character” contain interpretive content that defies strict empirical verification. Nor do people who express religious beliefs perceive themselves to be merely making emotive statements; instead, they sincerely believe that they are making statements of fact.</w:t>
      </w:r>
    </w:p>
    <w:p>
      <w:pPr>
        <w:spacing w:line="240" w:lineRule="auto"/>
        <w:widowControl/>
        <w:pStyle w:val="BodyText2"/>
      </w:pPr>
      <w:r>
        <w:t xml:space="preserve">About the pragmatic and positivistic theories he had elucidated, Henle finally concluded: </w:t>
      </w:r>
    </w:p>
    <w:p>
      <w:pPr>
        <w:ind w:left="446"/>
        <w:spacing w:before="100" w:beforeAutospacing="0" w:after="100" w:afterAutospacing="0" w:line="240" w:lineRule="auto"/>
        <w:widowControl/>
        <w:pStyle w:val="blockquote"/>
        <w:tabs>
          <w:tab w:val="clear" w:pos="215"/>
        </w:tabs>
      </w:pPr>
      <w:r>
        <w:t>theories of the sort we have been taking up are unsatisfactory. They attempt to reduce ordinary statements to observation statements. This reduction does not come off and, even if it did succeed, the field of ordinary statements would be unduly limited. (6:236)</w:t>
      </w:r>
    </w:p>
    <w:p>
      <w:pPr>
        <w:spacing w:line="240" w:lineRule="auto"/>
        <w:widowControl/>
        <w:pStyle w:val="BodyText"/>
        <w:rPr>
          <w:i/>
        </w:rPr>
      </w:pPr>
      <w:r>
        <w:t xml:space="preserve">He also explained that understanding and metaphor, broadly construed, are worthy conveyors of meaning (6:234–236). </w:t>
      </w:r>
    </w:p>
    <w:p>
      <w:pPr>
        <w:spacing w:line="240" w:lineRule="auto"/>
        <w:widowControl/>
        <w:pStyle w:val="BodyText2"/>
      </w:pPr>
      <w:r>
        <w:t xml:space="preserve">Yet another pluralist in the philosophy of language was Russian born Max Black. Despite his training in mathematics and logic, he was soon disenchanted with the positivist’s aim to make language an exact science, insisting that an acceptance of conceptual vagueness and looseness is essential to understanding our social and linguistic practices. This aligned him more closely with pragmatism and the later Wittgenstein. </w:t>
      </w:r>
    </w:p>
    <w:p>
      <w:pPr>
        <w:spacing w:line="240" w:lineRule="auto"/>
        <w:widowControl/>
        <w:pStyle w:val="BodyText2"/>
      </w:pPr>
      <w:r>
        <w:t xml:space="preserve">In “Language and Reality,” Black speculated on the prospects of our finding a “universal grammar” beneath the superficial differences characteristic of each language. As Black put it, “were it possible to construct a philosophical grammar, or any fragment of it, it would be very tempting to say that something would thereby have been revealed about the nature of ultimate reality (6:484). This idea was expressed by Wittgenstein in the </w:t>
      </w:r>
      <w:r>
        <w:rPr>
          <w:i/>
        </w:rPr>
        <w:t>Tractatus</w:t>
      </w:r>
      <w:r>
        <w:t xml:space="preserve"> as follows: “</w:t>
      </w:r>
      <w:r>
        <w:rPr>
          <w:color w:val="000000"/>
        </w:rPr>
        <w:t>To give the essence of proposition means to give the essence of all description, therefore the essence of the world.”</w:t>
      </w:r>
      <w:r>
        <w:rPr>
          <w:rStyle w:val="EndnoteReference"/>
        </w:rPr>
        <w:endnoteReference w:id="116"/>
      </w:r>
      <w:r>
        <w:t xml:space="preserve"> </w:t>
      </w:r>
    </w:p>
    <w:p>
      <w:pPr>
        <w:spacing w:line="240" w:lineRule="auto"/>
        <w:widowControl/>
        <w:pStyle w:val="BodyText2"/>
      </w:pPr>
      <w:r>
        <w:t>However, when we endeavor to look for such a grammatical rule or law, we find the results are disappointing. We might identify two basic terms, for example, “stop” and “go,” that correspond with two discrete basic actions; but, as Black tells us, “of course, a tap on the shoulder would do just as well” (6:485). Alternatively, some logicians claim that predicate notation eliminates the copula between subject and predicate; others say it preserves the function of the copula without the extraneous word “is.” Indeed, the subject-predicate relationship itself may be is dispensable (6:486–487). Contemporary linguists are pondering the conclusion, “No grammatical concept seems to be per se sacred or universal, far less indispensible.”</w:t>
      </w:r>
      <w:r>
        <w:rPr>
          <w:rStyle w:val="EndnoteReference"/>
        </w:rPr>
        <w:endnoteReference w:id="117"/>
      </w:r>
      <w:r>
        <w:t xml:space="preserve"> </w:t>
      </w:r>
    </w:p>
    <w:p>
      <w:pPr>
        <w:spacing w:line="240" w:lineRule="auto"/>
        <w:widowControl/>
        <w:pStyle w:val="BodyText2"/>
      </w:pPr>
      <w:r>
        <w:t xml:space="preserve">The ultimate problem with attempting to set forth a universal grammar is not with the purely grammatical particles and transformation rules; these, after all, can mean whatever we tell them to mean. Instead, the problem lies in supposing there are simple, fixed, and absolute states of the world these to hook onto. The world does not come to us absolutely, but in contexts, and “there are no adequate criteria for deciding whether contextual situations are to be counted as the same or different” (6:492). Consequently, holding out for some universal grammar is neither promising nor productive. </w:t>
      </w:r>
    </w:p>
    <w:p>
      <w:pPr>
        <w:spacing w:line="240" w:lineRule="auto"/>
        <w:widowControl/>
        <w:pStyle w:val="BodyText2"/>
      </w:pPr>
      <w:r>
        <w:t xml:space="preserve">George Boas (1951–1952) delivered an address entitled, “Philosophy and Ritual,” in which he advocated for the study of meaning beyond language to culture. Most philosophers under-appreciate the extent to which habit shapes our worldview. Individual habits and social customs guide the foundations of epistemology, ethics, and aesthetics—the history of our own culture and our evaluation of others. Whatever we perceive to be outside the prescribed pathways of custom and ritual remains conceptually and verbally impoverished—defined in terms of its lack of familiar features rather than their own unique assets. “The paradox of habit is that we forget those facts of experience with which we are most familiar” (6:87). The only way to break this paradox is to consciously expose our prejudices, and cultivate a taste for novelty and experimentation. </w:t>
      </w:r>
    </w:p>
    <w:p>
      <w:pPr>
        <w:spacing w:line="240" w:lineRule="auto"/>
        <w:widowControl/>
        <w:pStyle w:val="BodyText2"/>
      </w:pPr>
      <w:r>
        <w:t xml:space="preserve">An even broader survey of the influence of culture was offered by Charner Marquis Perry (1954–1955) in “The Rationale of Political Discussion.” He noted that although the institutions that underlie political discourse in any given society are never adequately understood by that society, some general characteristics of the conditions necessary for successful political discussion can be identified: </w:t>
      </w:r>
    </w:p>
    <w:p>
      <w:pPr>
        <w:ind w:left="446"/>
        <w:spacing w:before="100" w:beforeAutospacing="0" w:after="100" w:afterAutospacing="0" w:line="240" w:lineRule="auto"/>
        <w:widowControl/>
        <w:pStyle w:val="blockquote"/>
        <w:tabs>
          <w:tab w:val="clear" w:pos="215"/>
        </w:tabs>
      </w:pPr>
      <w:r>
        <w:t>When an established order—government and laws—is inadequate to enforce agreements, discussion becomes ineffectual. What is reasonable and prudent for one man to propose or to do depends in large part on his estimate of what other men will do; and unless estimates can be based on operating institutions or customs, discussion deteriorates because of uncertainty. . . . Unless existing institutions keep factions broken up into many small ones, discussion is likely to be ended by a dominant faction or frustrated by the sharp oppositions of interest and ideals between two or three large groups. (6:273)</w:t>
      </w:r>
    </w:p>
    <w:p>
      <w:pPr>
        <w:spacing w:line="240" w:lineRule="auto"/>
        <w:widowControl/>
        <w:pStyle w:val="BodyText"/>
      </w:pPr>
      <w:r>
        <w:t xml:space="preserve">The goal of a politically enfranchised culture is attainable, though not without challenges. In pursuing this vision there is no ultimate ground or Archimedean pivot—we always start in the middle of things. Still, optimal political discussion involves a willingness to integrate facts and values, utilize scientific methods, and strive for synthesis within an atmosphere of give-and-take. </w:t>
      </w:r>
    </w:p>
    <w:p>
      <w:pPr>
        <w:spacing w:line="240" w:lineRule="auto"/>
        <w:widowControl/>
        <w:pStyle w:val="BodyText2"/>
      </w:pPr>
      <w:r>
        <w:t>Pragmatism with an Eastern twist enlivened the philosophical anthropology of Van Meter Ames (1959–1960). In “Zen to Mead,” Ames contended that Zen Buddhism resonates well with American thought and philosophy, although we know it by other names. Both value “practical wisdom” over “spiritual cultivation” (6:611). For both, the epitome of spirituality is the art of practical living. Ralph Waldo Emerson swooned within the “transparent eyeball” of the divine and found bliss in a mud puddle on a cloudy day. For Peirce, our “glassy essence” is revealed within the holistic play of integrated signs. James found the quintessence of self-satisfaction in the “beautiful stream” of immediacy. Dewey’s youthful “mystical experience” left him with the conviction, “faith means not worrying”</w:t>
      </w:r>
      <w:r>
        <w:rPr>
          <w:rStyle w:val="EndnoteReference"/>
        </w:rPr>
        <w:endnoteReference w:id="118"/>
      </w:r>
      <w:r>
        <w:t xml:space="preserve"> and that the fullest expression of experience is in aesthetic unity. Finally, in George Herbert Mead (1916–1917), said Ames: </w:t>
      </w:r>
    </w:p>
    <w:p>
      <w:pPr>
        <w:ind w:left="446"/>
        <w:spacing w:before="100" w:beforeAutospacing="0" w:after="100" w:afterAutospacing="0" w:line="240" w:lineRule="auto"/>
        <w:widowControl/>
        <w:pStyle w:val="blockquote"/>
        <w:tabs>
          <w:tab w:val="clear" w:pos="215"/>
        </w:tabs>
      </w:pPr>
      <w:r>
        <w:t>the scientific West arrives at something like a fusion of the Confucian cultivation of virtue through the bonds of family and community, Taoist laissez-faire and yearning for nature, and Buddhist compassion for man’s need of Nirvana. (6:622)</w:t>
      </w:r>
    </w:p>
    <w:p>
      <w:pPr>
        <w:spacing w:line="240" w:lineRule="auto"/>
        <w:widowControl/>
        <w:pStyle w:val="BodyText"/>
      </w:pPr>
      <w:r>
        <w:t>Abraham Kaplan (1958–1959) described himself “by training a positivist, by inclination a pragmatist, in temperament a mystic,” (6:498) with broad interests extending to philosophy of religion and Eastern philosophy. In “Philosophic Sense and Mystic Sensibility,” he asserted that rationalism (the extreme of sense) and mysticism (the extreme of sensibility) are “the the two poles between which philosophy must move,” yet they are inextricably intertwined as the love of wisdom and the humanization of that love (6:502). Mysticism wraps itself in obscurantism, the absence of propositional content. As such, it is a form of silence. Yet silence is essential to communication and practical living (6:503). As pragmatism tells us, meaning is ultimately not propositional, but situational—“communication depends upon communion” (6:504).</w:t>
      </w:r>
    </w:p>
    <w:p>
      <w:pPr>
        <w:spacing w:line="240" w:lineRule="auto"/>
        <w:widowControl/>
        <w:pStyle w:val="BodyText2"/>
      </w:pPr>
      <w:r>
        <w:t xml:space="preserve">Kaplan next distinguished “shadow mysticism,” which is involved with the occult, from “naturalistic mysticism”: </w:t>
      </w:r>
    </w:p>
    <w:p>
      <w:pPr>
        <w:ind w:left="446"/>
        <w:spacing w:before="100" w:beforeAutospacing="0" w:after="100" w:afterAutospacing="0" w:line="240" w:lineRule="auto"/>
        <w:widowControl/>
        <w:pStyle w:val="blockquote"/>
        <w:tabs>
          <w:tab w:val="clear" w:pos="215"/>
        </w:tabs>
      </w:pPr>
      <w:r>
        <w:t xml:space="preserve">The occult is traceable, however, not to mysticism, but to a metaphysics of </w:t>
      </w:r>
      <w:r>
        <w:rPr>
          <w:i/>
        </w:rPr>
        <w:t>transcendent</w:t>
      </w:r>
      <w:r>
        <w:t xml:space="preserve"> </w:t>
      </w:r>
      <w:r>
        <w:rPr>
          <w:i/>
        </w:rPr>
        <w:t>parallelism</w:t>
      </w:r>
      <w:r>
        <w:t xml:space="preserve">: there is a realm of Reality, parallel to that of nature and experience, of which the latter is a reflection, if we have the eye to see it and the wit to understand it. Mysticism involved in such a metaphysics I call </w:t>
      </w:r>
      <w:r>
        <w:rPr>
          <w:i/>
        </w:rPr>
        <w:t>shadow</w:t>
      </w:r>
      <w:r>
        <w:t xml:space="preserve"> </w:t>
      </w:r>
      <w:r>
        <w:rPr>
          <w:i/>
        </w:rPr>
        <w:t>mysticism</w:t>
      </w:r>
      <w:r>
        <w:t>, . . . by which the Source of all Light may be inferred from experienced darkness. The world of nature becomes a texture of symbols, with allegory the only mode of symbolization. Shadow mysticism is obscurantist because no dictionary can be provided for the interpretation of its symbols—what is allegorized is by definition outside the range of possible experience. (6:502)</w:t>
      </w:r>
    </w:p>
    <w:p>
      <w:pPr>
        <w:spacing w:line="240" w:lineRule="auto"/>
        <w:widowControl/>
        <w:pStyle w:val="BodyText"/>
      </w:pPr>
      <w:r>
        <w:t xml:space="preserve">Naturalistic mysticism, to the contrary, does not compete with reason and science; instead, and like aesthetics, it offers an attitude toward life “at home in the things of this world” (6:508). In this sense, mysticism is “a quality </w:t>
      </w:r>
      <w:r>
        <w:rPr>
          <w:i/>
        </w:rPr>
        <w:t xml:space="preserve">in </w:t>
      </w:r>
      <w:r>
        <w:t xml:space="preserve">experience rather than as an avenue to a Reality outside experience” (6:509). Like aesthetic experience, it is not subject to empirical verification, though it can be judged to be genuine or artificial, profound or clichéd, enduring or fleeting. Naturalistic mysticism does not aspire to deliver new truth, but to affirm the familiar truth as “a loving intimacy with life” (6:510). Unlike shadow mysticism, which aspires to decipher God’s plan for heaven and earth, naturalistic mysticism sees the divine as manifest in the world: “Every single thing is an end in itself, not a means to salvation” (6:515). For Kaplan, pragmatism inspires not a transcendent monism, but a radical pluralism of love, commitment, and action. Mysticism is a delight in the fullness of things, a religion of joy. </w:t>
      </w:r>
    </w:p>
    <w:p>
      <w:pPr>
        <w:spacing w:line="240" w:lineRule="auto"/>
        <w:widowControl/>
        <w:pStyle w:val="BodyText2"/>
      </w:pPr>
      <w:r>
        <w:t xml:space="preserve">Bouwsma’s address was entitled, “‘On Many Occasions I have in Sleep Been Deceived’—Descartes.” The possibility that one may currently be dreaming is a cornerstone of Descartes’s methodological doubt. Initially, the comparison between waking and dreaming seems plausible: they share a “grammatical analogy” inasmuch as both have discrete content, vivid imagery, and are remembered and reported (6:406). Yet they are also significantly different: A factual report has verifiable content that dreams do not possess. When Descartes proclaimed that we may be deceived by dreams, he is duped by the grammatical analogy into thinking that dreaming is like a factual report—that the dream content is falsified by knowing I was really asleep in my bed. However, since he has no way to verify the content of his dream, Descartes cannot actually declare he was deceived, whereby the skeptical argument loses its force. </w:t>
      </w:r>
    </w:p>
    <w:p>
      <w:pPr>
        <w:spacing w:before="100" w:beforeAutospacing="0" w:after="100" w:afterAutospacing="0" w:line="240" w:lineRule="auto"/>
        <w:jc w:val="center"/>
        <w:widowControl/>
        <w:pStyle w:val="BodyText"/>
        <w:rPr>
          <w:b/>
        </w:rPr>
      </w:pPr>
      <w:r>
        <w:rPr>
          <w:b/>
        </w:rPr>
        <w:t>4. Philosophy of Science</w:t>
      </w:r>
    </w:p>
    <w:p>
      <w:pPr>
        <w:spacing w:line="240" w:lineRule="auto"/>
        <w:widowControl/>
        <w:pStyle w:val="BodyText"/>
      </w:pPr>
      <w:r>
        <w:t>The anxiety of the times was manifest in reflections about science. The decline of positivism had created deep suspicions about the prospects of a secure and determinate “unity of the sciences,” though Thomas Kuhn’s exposé of science as a fallible and revisable collection of human institutions would not reshape the intellectual landscape until the 1960s.</w:t>
      </w:r>
      <w:r>
        <w:rPr>
          <w:rStyle w:val="EndnoteReference"/>
        </w:rPr>
        <w:endnoteReference w:id="119"/>
      </w:r>
      <w:r>
        <w:t xml:space="preserve"> </w:t>
      </w:r>
    </w:p>
    <w:p>
      <w:pPr>
        <w:ind w:left="0" w:firstLine="446"/>
        <w:spacing w:line="240" w:lineRule="auto"/>
        <w:widowControl/>
        <w:pStyle w:val="BodyText"/>
      </w:pPr>
      <w:r>
        <w:t>Reflecting this uncertainty was Albert George Adam Balz (1955–1956), who, in “Prime Matter and Physical Science,” noted that modern physics acknowledges a handful of primitive constants: the mass and charge of electrons and protons, Planck’s constant of minimum mass-energy, gravitation, the velocity of light, and the cosmological constant:</w:t>
      </w:r>
    </w:p>
    <w:p>
      <w:pPr>
        <w:ind w:left="446"/>
        <w:spacing w:before="100" w:beforeAutospacing="0" w:after="100" w:afterAutospacing="0" w:line="240" w:lineRule="auto"/>
        <w:widowControl/>
        <w:pStyle w:val="BodyText"/>
      </w:pPr>
      <w:r>
        <w:t xml:space="preserve">The constants that repeatedly emerge in the equations represent, correspond to, or point to brutely residual factors alleged to be independently there in the domain which physics claims as its own. (6:287) </w:t>
      </w:r>
    </w:p>
    <w:p>
      <w:pPr>
        <w:spacing w:line="240" w:lineRule="auto"/>
        <w:widowControl/>
        <w:pStyle w:val="BodyText"/>
      </w:pPr>
      <w:r>
        <w:t xml:space="preserve">We do not know why reality is configured this way, and we are not sure which of these constants are essential, which are accidental, or which are likely to be reconfigured in the future. </w:t>
      </w:r>
    </w:p>
    <w:p>
      <w:pPr>
        <w:ind w:left="0" w:firstLine="446"/>
        <w:spacing w:line="240" w:lineRule="auto"/>
        <w:widowControl/>
        <w:pStyle w:val="BodyText"/>
      </w:pPr>
      <w:r>
        <w:t xml:space="preserve">Theorists often speak of constants as constraints—of what </w:t>
      </w:r>
      <w:r>
        <w:rPr>
          <w:i/>
        </w:rPr>
        <w:t xml:space="preserve">cannot </w:t>
      </w:r>
      <w:r>
        <w:t xml:space="preserve">happen in nature. Nonetheless: </w:t>
      </w:r>
    </w:p>
    <w:p>
      <w:pPr>
        <w:ind w:left="446"/>
        <w:spacing w:before="100" w:beforeAutospacing="0" w:after="100" w:afterAutospacing="0" w:line="240" w:lineRule="auto"/>
        <w:widowControl/>
        <w:pStyle w:val="BodyText"/>
      </w:pPr>
      <w:r>
        <w:t xml:space="preserve">If physical science, while mathematical, nevertheless differs from mathematics, if it is </w:t>
      </w:r>
      <w:r>
        <w:rPr>
          <w:i/>
        </w:rPr>
        <w:t>about</w:t>
      </w:r>
      <w:r>
        <w:t xml:space="preserve"> existence, then, unless physical science is merely an irresponsible fairy tale, its findings of constants must be of capital import for any philosophical position whatever. . . . even though the physicist does not realize that this is what his equations are about, its constants nevertheless represent brutely residual factors in what does exist. (6:287) </w:t>
      </w:r>
    </w:p>
    <w:p>
      <w:pPr>
        <w:spacing w:line="240" w:lineRule="auto"/>
        <w:widowControl/>
        <w:pStyle w:val="BodyText"/>
      </w:pPr>
      <w:r>
        <w:t>Accordingly, physics is of capital importance to metaphysics. The constants of physics may be mere abstract possibilities, mere essences, but if they tell us something about the very grain of existence, then they are privileged essences.</w:t>
      </w:r>
    </w:p>
    <w:p>
      <w:pPr>
        <w:ind w:left="0" w:firstLine="446"/>
        <w:spacing w:line="240" w:lineRule="auto"/>
        <w:widowControl/>
        <w:pStyle w:val="BodyText"/>
      </w:pPr>
      <w:r>
        <w:t xml:space="preserve">Conversely, essences that contravene Planck’s constant or the velocity of light are incapable of actualization. </w:t>
      </w:r>
    </w:p>
    <w:p>
      <w:pPr>
        <w:ind w:left="0" w:firstLine="446"/>
        <w:spacing w:line="240" w:lineRule="auto"/>
        <w:widowControl/>
        <w:pStyle w:val="BodyText"/>
      </w:pPr>
      <w:r>
        <w:t>As such, concluded Balz, contemporary physics embodies the claim of Thomistic metaphysics that “prime matter” intrinsically accepts certain possible configuring forms while rejecting others.</w:t>
      </w:r>
    </w:p>
    <w:p>
      <w:pPr>
        <w:spacing w:line="240" w:lineRule="auto"/>
        <w:widowControl/>
        <w:pStyle w:val="BodyText2"/>
      </w:pPr>
      <w:r>
        <w:t xml:space="preserve">Hugh Miller’s (1950–1951) perspective was less medieval and more pragmatic. In “The Science of Creation,” he listed “three epochal discoveries”: </w:t>
      </w:r>
    </w:p>
    <w:p>
      <w:pPr>
        <w:ind w:left="446"/>
        <w:spacing w:before="100" w:beforeAutospacing="0" w:after="100" w:afterAutospacing="0" w:line="240" w:lineRule="auto"/>
        <w:widowControl/>
        <w:pStyle w:val="blockquote"/>
        <w:tabs>
          <w:tab w:val="clear" w:pos="215"/>
        </w:tabs>
      </w:pPr>
      <w:r>
        <w:t>[that] dethroned classical thought, which had established knowledge upon absolute a priori principles. The first was the disestablishment of absolute geometry, which left only statistical description, implemented by arithmetic. The second was the so-called uncertainty principle, the discovery that physical change is not subject to exact and exhaustive theoretical analysis. The third was [Kurt] Gödel’s proof of the incompletability of number-theory, which entails the incompletability of all theory. (6:5)</w:t>
      </w:r>
    </w:p>
    <w:p>
      <w:pPr>
        <w:spacing w:line="240" w:lineRule="auto"/>
        <w:widowControl/>
        <w:pStyle w:val="BodyText"/>
      </w:pPr>
      <w:r>
        <w:t xml:space="preserve">The only unconditional existence is the plurality of particular existences—everything involving form or change is contingent. Particular existence is the sole epistemic value. In the futile attempt to exceed this—to separate additional factual theoretic values from merely useful pragmatic ones—Miller found the philosophy of science frustrating and dishonoring itself. Even worse, it has fostered the rift between purportedly objective scientific truths and the subjective beliefs of social affairs. Beyond its menial function of quantifying particulars, we should embrace modern science as a creative power akin to history, aesthetics, ethics, and religion. </w:t>
      </w:r>
    </w:p>
    <w:p>
      <w:pPr>
        <w:spacing w:line="240" w:lineRule="auto"/>
        <w:widowControl/>
        <w:pStyle w:val="BodyText2"/>
      </w:pPr>
      <w:r>
        <w:t xml:space="preserve">Filmer Stuart Cuckow Northrop (1952–1953) saw an additional connection between our scientific outlook and legal systems. In “The Philosophy of Natural Science and Comparative Law,” he suggested that studying a society’s civil codes may be the best way to appreciate its underlying values and beliefs. Communal norms, after all, are embodied in laws; they contain explicit content the people of a community actually utilize to prescribe and enforce proper conduct. Legal codes come in three types: “(1) the intuitive mediational type, (2) the natural history type, and (3) the abstract contractual type” (6:124). </w:t>
      </w:r>
    </w:p>
    <w:p>
      <w:pPr>
        <w:spacing w:line="240" w:lineRule="auto"/>
        <w:widowControl/>
        <w:pStyle w:val="BodyText2"/>
      </w:pPr>
      <w:r>
        <w:t>The intuitive mediational type, typical of Eastern cultures, eschews formal canons for situational compromises brokered by mediators. This process is analogous to instrumental pragmatism. The codes of the natural history type “are expressed in the syntactical grammar of the language of common sense objects and relations. . . . [and] describe the social norms of the inductively given status quo.”</w:t>
      </w:r>
      <w:r>
        <w:rPr>
          <w:i/>
        </w:rPr>
        <w:t xml:space="preserve"> </w:t>
      </w:r>
      <w:r>
        <w:t>Northrop offered examples of this type in classical China, classical India, and Mohammedan legal codes (6:125–127).</w:t>
      </w:r>
    </w:p>
    <w:p>
      <w:pPr>
        <w:spacing w:line="240" w:lineRule="auto"/>
        <w:widowControl/>
        <w:pStyle w:val="BodyText2"/>
      </w:pPr>
      <w:r>
        <w:t>The abstract contractual type, a codified law:</w:t>
      </w:r>
    </w:p>
    <w:p>
      <w:pPr>
        <w:ind w:left="446"/>
        <w:spacing w:before="100" w:beforeAutospacing="0" w:after="100" w:afterAutospacing="0" w:line="240" w:lineRule="auto"/>
        <w:widowControl/>
        <w:pStyle w:val="blockquote"/>
        <w:tabs>
          <w:tab w:val="clear" w:pos="215"/>
        </w:tabs>
      </w:pPr>
      <w:r>
        <w:t>differs from the natural history type in that it replaces common sense language with a technical terminology. . . . very important consequence of freeing ethical and legal norms from the mere natural history description of the social status quo, thereby permitting the construction of legal and social entities and relations different from any which are observed in any traditional society. This type of law came into being for the first time with the Roman Stoic philosophers who created the Western science of law. (6:127)</w:t>
      </w:r>
    </w:p>
    <w:p>
      <w:pPr>
        <w:spacing w:line="240" w:lineRule="auto"/>
        <w:widowControl/>
        <w:pStyle w:val="BodyText2"/>
      </w:pPr>
      <w:r>
        <w:t>The differences among these types are both practical—mediation effective within a clan or village does not translate well to an impersonal urban setting—and theoretical: whereas non-Western cultures focus upon the concrete realities of individuals in specific situations, Western societies elevate the formal and abstract above the status of mere particulars. Accordingly, claimed Northrop, our commitment to universal scientific laws reinforces our acceptance of abstract theories of justice and morality.</w:t>
      </w:r>
    </w:p>
    <w:p>
      <w:pPr>
        <w:spacing w:before="100" w:beforeAutospacing="0" w:after="100" w:afterAutospacing="0"/>
        <w:jc w:val="center"/>
        <w:widowControl/>
        <w:rPr>
          <w:rFonts w:ascii="Times New Roman" w:hAnsi="Times New Roman" w:eastAsia="Times New Roman"/>
          <w:sz w:val="20"/>
          <w:b/>
          <w:color w:val="auto"/>
        </w:rPr>
      </w:pPr>
      <w:r>
        <w:rPr>
          <w:rFonts w:ascii="Times New Roman" w:hAnsi="Times New Roman" w:eastAsia="Times New Roman"/>
          <w:sz w:val="20"/>
          <w:b/>
          <w:color w:val="auto"/>
        </w:rPr>
        <w:t>5. Ethics, Culture, Aesthetics, and History</w:t>
      </w:r>
    </w:p>
    <w:p>
      <w:pPr>
        <w:spacing w:line="240" w:lineRule="auto"/>
        <w:widowControl/>
        <w:pStyle w:val="BodyText"/>
      </w:pPr>
      <w:r>
        <w:t xml:space="preserve">Much of Murphy’s important work was in metaphysics, where he coined the term “objective realism” to denote the ontological priority of events over things. The abstract character of justice theory in the 1950s was evident in the title of his address, “The Common Good.” </w:t>
      </w:r>
    </w:p>
    <w:p>
      <w:pPr>
        <w:spacing w:line="240" w:lineRule="auto"/>
        <w:widowControl/>
        <w:pStyle w:val="BodyText2"/>
      </w:pPr>
      <w:r>
        <w:t xml:space="preserve">Granting that appeals to “the common good” are persuasive, Murphy wondered what we are appealing to when we invoke such a good. The common good has obvious emotive force, but that alone is not a sufficient sanction or justification for action. It is effective as a premise motivating the acceptance of a prescribed social action or policy, but what accounts for this efficacy? The reason, no doubt, is that a common good is the ideal content of an understanding shared by individuals or groups—an understanding that adjudicates disagreements or conflicting claims, and offers cogent reasons </w:t>
      </w:r>
      <w:r>
        <w:rPr>
          <w:i/>
        </w:rPr>
        <w:t xml:space="preserve">why </w:t>
      </w:r>
      <w:r>
        <w:t xml:space="preserve">the prescribed act or policy conforms to this standard. </w:t>
      </w:r>
    </w:p>
    <w:p>
      <w:pPr>
        <w:spacing w:line="240" w:lineRule="auto"/>
        <w:widowControl/>
        <w:pStyle w:val="BodyText2"/>
      </w:pPr>
      <w:r>
        <w:t xml:space="preserve">Still, while this may explain how a social standard is maintained and why it is effective, it does not supply the conditions by which it is a bona fide </w:t>
      </w:r>
      <w:r>
        <w:rPr>
          <w:i/>
        </w:rPr>
        <w:t xml:space="preserve">good. </w:t>
      </w:r>
      <w:r>
        <w:t xml:space="preserve">After all, Murphy noted, the common good is invoked, not by the entire community, but by influential groups and individuals within it, whose motives may be suspicious or worse. An agreement forged upon a common good worthy of the name must be open to the informed scrutiny of everyone in the community affected by it. Many, of course, will dismiss this criterion as unrealistic. But unless we can preserve the notion of the common good, even in imperfect form, the notion of ethical agreement reached by reasoned discourse will give way to sinister alternatives. </w:t>
      </w:r>
    </w:p>
    <w:p>
      <w:pPr>
        <w:spacing w:line="240" w:lineRule="auto"/>
        <w:widowControl/>
        <w:pStyle w:val="BodyText2"/>
      </w:pPr>
      <w:r>
        <w:t xml:space="preserve">Rader, a champion of social justice, had been charged with subversive activities in 1948 for allegedly attending a Communist rally a decade earlier. Rader’s successful effort to refute the charge and clear his name gained national attention. </w:t>
      </w:r>
    </w:p>
    <w:p>
      <w:pPr>
        <w:spacing w:line="240" w:lineRule="auto"/>
        <w:widowControl/>
        <w:pStyle w:val="BodyText2"/>
      </w:pPr>
      <w:r>
        <w:t>In “Crisis and the Spirit of Community,” Rader argued, “Hitler and Stalin would never have had a chance if modern civilization had not been monstrously defective, and until the basic evils are removed, new specters will arise, time and again, to haunt us” (6:209). For centuries, the Western world has increasingly championed the prestige and power of the individual, with rivalry and conflict being the norm:</w:t>
      </w:r>
    </w:p>
    <w:p>
      <w:pPr>
        <w:ind w:left="446"/>
        <w:spacing w:before="100" w:beforeAutospacing="0" w:after="100" w:afterAutospacing="0" w:line="240" w:lineRule="auto"/>
        <w:widowControl/>
        <w:pStyle w:val="blockquote"/>
        <w:tabs>
          <w:tab w:val="clear" w:pos="215"/>
        </w:tabs>
      </w:pPr>
      <w:r>
        <w:t xml:space="preserve"> Modern dictatorships have sought to prevent social disintegration by extreme coercion, leader-worship, and chauvinism. But the cure is worse than the disease. The alternative to both a communist or fascist dictatorship and an individualistic system of devil-take-the-hindmost is the cultivation of free, cooperative communities. (6:209)</w:t>
      </w:r>
    </w:p>
    <w:p>
      <w:pPr>
        <w:spacing w:line="240" w:lineRule="auto"/>
        <w:widowControl/>
        <w:pStyle w:val="BodyText"/>
      </w:pPr>
      <w:r>
        <w:t xml:space="preserve">According to Rader, such a profound transformation cannot be accomplished by intellectual or political activities alone. Instead, it requires the profound conviction that our “ideals are based upon the nature of things” (6:210)—an intensity found only in religious and spiritual feelings. It is no accident that the great religions of the world all originated in close-knit communities: </w:t>
      </w:r>
    </w:p>
    <w:p>
      <w:pPr>
        <w:ind w:left="446"/>
        <w:spacing w:before="100" w:beforeAutospacing="0" w:after="100" w:afterAutospacing="0" w:line="240" w:lineRule="auto"/>
        <w:widowControl/>
        <w:pStyle w:val="blockquote"/>
        <w:tabs>
          <w:tab w:val="clear" w:pos="215"/>
        </w:tabs>
      </w:pPr>
      <w:r>
        <w:t xml:space="preserve">In the intimate community, human beings first learned the ways of fellowship. Only within the matrix of loving personal relations, men like Jesus and Buddha and Lao-tze came to spiritual birth. (6: 213) </w:t>
      </w:r>
    </w:p>
    <w:p>
      <w:pPr>
        <w:spacing w:line="240" w:lineRule="auto"/>
        <w:widowControl/>
        <w:pStyle w:val="BodyText"/>
      </w:pPr>
      <w:r>
        <w:t xml:space="preserve">The most influential of the world’s religions have both “tapped the deepest roots of human feeling” and “have sought to extend these values to the widest compass and thus to universalize them” (6:214). Religions have flourished without a concept of God or the divine, but they cannot exist without the commitment to community, self-transcendence, and universal love that ameliorates our inherent loneliness and alienation. Rader believes a truly liberal religion: </w:t>
      </w:r>
    </w:p>
    <w:p>
      <w:pPr>
        <w:ind w:left="446"/>
        <w:spacing w:before="100" w:beforeAutospacing="0" w:after="100" w:afterAutospacing="0" w:line="240" w:lineRule="auto"/>
        <w:widowControl/>
        <w:pStyle w:val="blockquote"/>
        <w:tabs>
          <w:tab w:val="clear" w:pos="215"/>
        </w:tabs>
      </w:pPr>
      <w:r>
        <w:t xml:space="preserve">can teach human beings to return love for hatred. It can awaken in men’s minds the hope of the great community. It can penetrate the iron curtains of the human spirit by kindness and patient understanding. (6:221) </w:t>
      </w:r>
    </w:p>
    <w:p>
      <w:pPr>
        <w:spacing w:line="240" w:lineRule="auto"/>
        <w:widowControl/>
        <w:pStyle w:val="BodyText"/>
      </w:pPr>
      <w:r>
        <w:t xml:space="preserve">Perhaps most significantly, it can promote a </w:t>
      </w:r>
      <w:r>
        <w:rPr>
          <w:i/>
        </w:rPr>
        <w:t xml:space="preserve">humanistic science </w:t>
      </w:r>
      <w:r>
        <w:t xml:space="preserve">where art, religion, and politics can mature to the point where they may acquire full stewardship over our dangerous runaway technologies. </w:t>
      </w:r>
    </w:p>
    <w:p>
      <w:pPr>
        <w:spacing w:line="240" w:lineRule="auto"/>
        <w:widowControl/>
        <w:pStyle w:val="BodyText2"/>
      </w:pPr>
      <w:r>
        <w:rPr>
          <w:lang w:val="de-DE"/>
        </w:rPr>
        <w:t>Margaret Georgiana</w:t>
      </w:r>
      <w:r>
        <w:t xml:space="preserve"> Melvin (1951–1952) opened her address entitled “The Legal Norm in Soviet Jurisprudence,” by noting that</w:t>
      </w:r>
      <w:r>
        <w:rPr>
          <w:color w:val="FF0000"/>
        </w:rPr>
        <w:t xml:space="preserve"> </w:t>
      </w:r>
      <w:r>
        <w:t>Marx appropriated from Hegel the idea that history is both self-evolving and necessarily self-destroying—that everything real ultimately becomes irrational, and, “all that exists deserves to perish.”</w:t>
      </w:r>
      <w:r>
        <w:rPr>
          <w:rStyle w:val="EndnoteReference"/>
        </w:rPr>
        <w:endnoteReference w:id="120"/>
      </w:r>
      <w:r>
        <w:t xml:space="preserve"> Whereas legal canons are traditionally regarded as a set of absolute and abstract principles, Soviet jurisprudence is sensitive to the dictates of evolving and changing concrete human relations. Law is regarded as “a social science in need of a scientific methodology” (6:58). However, as the first modern state to abolish private property, civil law protecting the property rights of individuals no longer exists in the Soviet Union. </w:t>
      </w:r>
    </w:p>
    <w:p>
      <w:pPr>
        <w:spacing w:line="240" w:lineRule="auto"/>
        <w:widowControl/>
        <w:pStyle w:val="BodyText2"/>
      </w:pPr>
      <w:r>
        <w:t xml:space="preserve">Another international perspective was offered by John David Goheen (1957–1958). In “Concerning a Tendency in French Ethical Thought,” he remarked that French and American philosophers appear to occupy very different worlds. Beyond the barrier of language are significant conceptual dichotomies. Anglo-American thought, skewed toward the analytic tradition, focuses on logic, language, and science. French philosophy, indebted to phenomenology, operates within the theatre of “experience” and the social sciences, especially psychology. The French also resist the tendency to question the cognitive significance of ethical claims or “reduce” them to the descriptive behavioral sciences: “Attitudes and feelings are as much objects of ‘phenomenological description’ as anything else” (6:421). French ethical phenomenologists tend to embrace a “moral psychology” where the complexities of decision and choice are focal. Where existentialists tend to emphasize the absurdity of choice, phenomenologists examine </w:t>
      </w:r>
      <w:r>
        <w:rPr>
          <w:i/>
        </w:rPr>
        <w:t xml:space="preserve">intentionality </w:t>
      </w:r>
      <w:r>
        <w:t xml:space="preserve">for clues to “axiological attitudes” expressed in moral discourse. Goheen observed that though these philosophers have little interest in American ethics, they eagerly appropriate our developments in psychology, anthropology, and sociology. The budding interest American philosophers have expressed in integrating ethics and the social sciences may help build a bridge between these disparate traditions. </w:t>
      </w:r>
    </w:p>
    <w:p>
      <w:pPr>
        <w:spacing w:line="240" w:lineRule="auto"/>
        <w:widowControl/>
        <w:pStyle w:val="BodyText2"/>
      </w:pPr>
      <w:r>
        <w:t xml:space="preserve">Bertram Emil Jessup (1955–1956) focused on the junction of philosophy and literature. In “The Data of Aesthetics,” he praised a relational view of aesthetics, including both creative-critical activities and the scientific and philosophical analysis of these. Aesthetic data is infinitely rich and historically connected. Theory should follow the data, not the reverse. Historically, art has served too many diverse purposes to be pigeonholed into determinate categories, such as specific materials or values such as beauty or economic viability. </w:t>
      </w:r>
    </w:p>
    <w:p>
      <w:pPr>
        <w:spacing w:line="240" w:lineRule="auto"/>
        <w:widowControl/>
        <w:pStyle w:val="BodyText2"/>
      </w:pPr>
      <w:r>
        <w:t xml:space="preserve">Richard Peter McKeon’s (1951–1952) address transitions us from the critique of art to the art of effective discourse. One of the century’s great historians of philosophy, his “Symposia” is an intellectual history of that wild and heady admixture of food, drink, and intense conversation. Though Socrates’s exploration of the nature of love is its most famous incarnation, symposia in various forms have been common from antiquity to the modern era. As McKeon noted, the symbiotic character of group discourse and libation often produces results that exceed the sum of the individual thoughts. </w:t>
      </w:r>
    </w:p>
    <w:p>
      <w:pPr>
        <w:spacing w:line="240" w:lineRule="auto"/>
        <w:widowControl/>
        <w:pStyle w:val="BodyText2"/>
      </w:pPr>
      <w:r>
        <w:t xml:space="preserve">Edward William Strong (1952–1953) opened his “On Judging History” with the observation that throughout the ages, historians have disagreed about the criteria by which they “make value judgments in assessing significance and worth of histories as they have been written” (6:150). Some have regarded “pure history” as analogous to “pure science,” a dispassionate recounting of “just the facts” without interpretation or embellishment. Others have emphasized the art of selection, with an eye toward highlighting events that are unusual, dramatic, and make for a great story. A few have insisted that historians cannot stand outside of the events they depict, and that moral evaluation is imperative. Strong agreed with the latter camp, arguing that perspectives are inescapable. Facts are not relative, but their selection and interpretation is. Strong cited Robin George Collingwood, who asserted in his </w:t>
      </w:r>
      <w:r>
        <w:rPr>
          <w:i/>
        </w:rPr>
        <w:t>The Idea of History</w:t>
      </w:r>
      <w:r>
        <w:t xml:space="preserve"> (1946), “The value of history…is that it teaches what man has done and thus what man is” (6:157).</w:t>
      </w:r>
    </w:p>
    <w:p>
      <w:pPr>
        <w:spacing w:line="240" w:lineRule="auto"/>
        <w:widowControl/>
        <w:pStyle w:val="BodyText2"/>
      </w:pPr>
      <w:r>
        <w:t xml:space="preserve">In “The Demiurge in Politics: The </w:t>
      </w:r>
      <w:r>
        <w:rPr>
          <w:i/>
        </w:rPr>
        <w:t xml:space="preserve">Timæus </w:t>
      </w:r>
      <w:r>
        <w:t xml:space="preserve">and the </w:t>
      </w:r>
      <w:r>
        <w:rPr>
          <w:i/>
        </w:rPr>
        <w:t>Laws</w:t>
      </w:r>
      <w:r>
        <w:t xml:space="preserve">,” Glenn Raymond Morrow (1939–1940; 1953–1954) wryly remarked, “no one can study the </w:t>
      </w:r>
      <w:r>
        <w:rPr>
          <w:i/>
        </w:rPr>
        <w:t xml:space="preserve">Laws </w:t>
      </w:r>
      <w:r>
        <w:t xml:space="preserve">critically without asking what Plato was trying to do when he wrote it” (6:187). Many critics believe that </w:t>
      </w:r>
      <w:r>
        <w:rPr>
          <w:i/>
        </w:rPr>
        <w:t>Laws</w:t>
      </w:r>
      <w:r>
        <w:t xml:space="preserve"> lacks the charm and clarity of the earlier </w:t>
      </w:r>
      <w:r>
        <w:rPr>
          <w:i/>
        </w:rPr>
        <w:t>Republic</w:t>
      </w:r>
      <w:r>
        <w:t>,</w:t>
      </w:r>
      <w:r>
        <w:rPr>
          <w:i/>
        </w:rPr>
        <w:t xml:space="preserve"> </w:t>
      </w:r>
      <w:r>
        <w:t xml:space="preserve">which remains Plato’s definitive account of the ideal society. Scholars often dismiss the </w:t>
      </w:r>
      <w:r>
        <w:rPr>
          <w:i/>
        </w:rPr>
        <w:t xml:space="preserve">Laws </w:t>
      </w:r>
      <w:r>
        <w:t>as a work of crotchety resignation or even see it as “hopelessly confused” (6:188).</w:t>
      </w:r>
    </w:p>
    <w:p>
      <w:pPr>
        <w:spacing w:line="240" w:lineRule="auto"/>
        <w:widowControl/>
        <w:pStyle w:val="BodyText2"/>
      </w:pPr>
      <w:r>
        <w:t xml:space="preserve">However, Morrow disagreed with this assessment. In the </w:t>
      </w:r>
      <w:r>
        <w:rPr>
          <w:i/>
        </w:rPr>
        <w:t>Republic</w:t>
      </w:r>
      <w:r>
        <w:t xml:space="preserve">, Plato also expressed doubt that human nature is redeemable, and lamented that the prospects of a philosopher-king are remote. The </w:t>
      </w:r>
      <w:r>
        <w:rPr>
          <w:i/>
        </w:rPr>
        <w:t xml:space="preserve">Laws </w:t>
      </w:r>
      <w:r>
        <w:t>expressed not resignation but “a more comprehensive grasp of the difficulties that have to be overcome” (6:189). What later scholars have criticized as an obsession with minutia, such as funerals and drainage systems, Morrow saw as the close and careful work of a craftsperson who has learned that deliverance is in the details. Plato had built his Academy</w:t>
      </w:r>
      <w:r>
        <w:rPr>
          <w:i/>
        </w:rPr>
        <w:t xml:space="preserve"> </w:t>
      </w:r>
      <w:r>
        <w:t>as a training ground, not for abstract theoreticians, but for hands-on social engineers.</w:t>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r>
        <w:rPr>
          <w:color w:val="0000FF"/>
          <w:u w:val="single"/>
        </w:rPr>
        <w:fldChar w:fldCharType="begin"/>
        <w:instrText xml:space="preserve"> HYPERLINK \l "TABLE_OF_CONTENTS" </w:instrText>
        <w:fldChar w:fldCharType="separate"/>
      </w:r>
      <w:r>
        <w:rPr>
          <w:color w:val="0000FF"/>
          <w:u w:val="single"/>
        </w:rPr>
        <w:t>Return to TOC</w:t>
        <w:fldChar w:fldCharType="end"/>
      </w:r>
    </w:p>
    <w:p>
      <w:pPr>
        <w:widowControl/>
        <w:pStyle w:val="Heading1"/>
        <w:rPr>
          <w:sz w:val="22"/>
          <w:vertAlign w:val="superscript"/>
        </w:rPr>
      </w:pPr>
      <w:r>
        <w:rPr>
          <w:sz w:val="30"/>
          <w:caps/>
        </w:rPr>
        <w:t xml:space="preserve">The APA presidential </w:t>
      </w:r>
      <w:bookmarkStart w:id="159" w:name="addresses_During_the_1960s"/>
      <w:r>
        <w:rPr>
          <w:sz w:val="30"/>
          <w:caps/>
        </w:rPr>
        <w:t>addresses During the 1960</w:t>
      </w:r>
      <w:r>
        <w:rPr>
          <w:sz w:val="30"/>
        </w:rPr>
        <w:t>s</w:t>
      </w:r>
      <w:bookmarkEnd w:id="159"/>
    </w:p>
    <w:p>
      <w:pPr>
        <w:spacing w:after="160" w:afterAutospacing="0"/>
        <w:widowControl/>
        <w:pStyle w:val="Heading3"/>
        <w:rPr>
          <w:sz w:val="20"/>
        </w:rPr>
      </w:pPr>
      <w:r>
        <w:rPr>
          <w:sz w:val="20"/>
        </w:rPr>
        <w:t>David Johnson and John R. Shook</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 xml:space="preserve">The 1960s is widely regarded as a decade when analytic philosophy became thoroughly American and consolidated its dominance over philosophy in America. If that perception has some validity, it cannot be confirmed by the presidential addresses delivered during this period. Americans hardly had a monopoly over the presidential offices in the three divisions of The American Philosophical Association (The APA), as ten of the presidents during this decade were foreign-born. The addresses themselves, taken as a group, are not characterized by typical analytic themes with much frequency. </w:t>
      </w:r>
    </w:p>
    <w:p>
      <w:pPr>
        <w:spacing w:line="240" w:lineRule="auto"/>
        <w:widowControl/>
        <w:pStyle w:val="BodyText2"/>
      </w:pPr>
      <w:r>
        <w:t xml:space="preserve">If there is any safe generalization to be made about this decade’s addresses, we could point to the manner in which almost all of them offered broad surveys about each president’s approach to philosophy in general or about the president’s preferred philosophical movement, rather than narrow investigations into specialized technical problems. </w:t>
      </w:r>
    </w:p>
    <w:p>
      <w:pPr>
        <w:spacing w:before="100" w:beforeAutospacing="0" w:after="100" w:afterAutospacing="0"/>
        <w:jc w:val="center"/>
        <w:pStyle w:val="NoSpacing"/>
        <w:rPr>
          <w:b/>
        </w:rPr>
      </w:pPr>
      <w:r>
        <w:rPr>
          <w:b/>
        </w:rPr>
        <w:t>2. Philosophy Unified?</w:t>
      </w:r>
    </w:p>
    <w:p>
      <w:pPr>
        <w:spacing w:line="240" w:lineRule="auto"/>
        <w:widowControl/>
        <w:pStyle w:val="BodyText"/>
      </w:pPr>
      <w:r>
        <w:t xml:space="preserve">Some philosophers, such as John Daniel Wild (1960–1961), even forecasted re-unifications among philosophical movements. His address, “The Exploration of the Life-World,” sought common ground on empirical matters. Appealing to William James (1906–1907) and his radical empiricism for inspiration, Wild urged philosophical appreciation for ordinary lived experience and close study of its features. Much of pragmatism, existentialism, and phenomenology, and even ordinary language philosophy, could at least agree to methodically investigate the human life-world and its primal significance. One vast chasm remained: the radical divergence between the world described by rational and scientific discourse, and the world that living beings like us actually experience (7:7). </w:t>
      </w:r>
    </w:p>
    <w:p>
      <w:pPr>
        <w:spacing w:line="240" w:lineRule="auto"/>
        <w:widowControl/>
        <w:pStyle w:val="BodyText2"/>
      </w:pPr>
      <w:r>
        <w:t xml:space="preserve">Denying that philosophy should subordinate itself to the sciences, Wild asserted the undeniable realm of “world facts.” World facts have a reality as humanly interpreted and value-laden events making an undeniable impact on us, because we all live through them. By contrast, scientific facts largely lack that meaningful structure. Their meaning also arises from our interactions with reality, but strictly controlled and regulated by methods and instruments. Universal objectivity can be acquired and accessed by everyone, at the price of omitting almost everything of immediate vital importance to each individual. </w:t>
      </w:r>
    </w:p>
    <w:p>
      <w:pPr>
        <w:spacing w:line="240" w:lineRule="auto"/>
        <w:widowControl/>
        <w:pStyle w:val="BodyText2"/>
      </w:pPr>
      <w:r>
        <w:t>Having sharply dichotomized scientific facts apart from world facts, Wild outlined the role of interpretation for understanding world facts:</w:t>
      </w:r>
    </w:p>
    <w:p>
      <w:pPr>
        <w:ind w:left="446"/>
        <w:spacing w:before="100" w:beforeAutospacing="0" w:after="100" w:afterAutospacing="0" w:line="240" w:lineRule="auto"/>
        <w:widowControl/>
        <w:pStyle w:val="blockquote"/>
        <w:tabs>
          <w:tab w:val="clear" w:pos="215"/>
        </w:tabs>
      </w:pPr>
      <w:r>
        <w:t>The interpretation of such world facts must, therefore, fall into two distinct steps: first, finding out what these events meant to the persons involved in their lived existence; and second, searching for their real meaning. Such an interpretation will not be exclusively concerned with objects. It must be concerned with “subjective,” or better, with intentional factors as well. It will avoid the traditional concepts of substance and subject, and will recognize that human existence is always stretched out into a world field. It will not subsume historic events under laws of succession, and then place them in a neutral objective frame. It will seek rather to discover types or structures of lived existence in the open horizon of the life-world. It is dealing with free beings capable of choosing styles of life and global world interpretations of their own. Hence it will aim not at prediction and causal control but simply at understanding. (7:10–11)</w:t>
      </w:r>
    </w:p>
    <w:p>
      <w:pPr>
        <w:spacing w:line="240" w:lineRule="auto"/>
        <w:widowControl/>
        <w:pStyle w:val="BodyText"/>
      </w:pPr>
      <w:r>
        <w:t>Phenomenology is central for discerning features to experience, having only a fleeting, contingent, or illusory existence as far as objective science is concerned, which are necessary to the humanly lived world:</w:t>
      </w:r>
    </w:p>
    <w:p>
      <w:pPr>
        <w:ind w:left="446"/>
        <w:spacing w:before="100" w:beforeAutospacing="0" w:after="100" w:afterAutospacing="0" w:line="240" w:lineRule="auto"/>
        <w:widowControl/>
        <w:pStyle w:val="blockquote"/>
        <w:tabs>
          <w:tab w:val="clear" w:pos="215"/>
        </w:tabs>
      </w:pPr>
      <w:r>
        <w:t>The philosophical phenomenologist will be especially concerned with the clarification of those structures like time, history, freedom, death, and world itself which seem to belong necessarily to human existence, and thus to make any world version possible. (7:13)</w:t>
      </w:r>
    </w:p>
    <w:p>
      <w:pPr>
        <w:spacing w:line="240" w:lineRule="auto"/>
        <w:widowControl/>
        <w:pStyle w:val="BodyText"/>
      </w:pPr>
      <w:r>
        <w:t>In the lived world, divides between the subjective and objective are not fundamental, and no mode of truth takes priority, not even scientific truth. The charge of mere “subjectivism” has no jurisdiction there. Superior authenticity is the better test for humanistic interpretations than the perspective from any scientific confirmation. The life-world has ontological and epistemic priority. Wild offered his reasons:</w:t>
      </w:r>
    </w:p>
    <w:p>
      <w:pPr>
        <w:ind w:left="446"/>
        <w:spacing w:before="100" w:beforeAutospacing="0" w:after="100" w:afterAutospacing="0" w:line="240" w:lineRule="auto"/>
        <w:widowControl/>
        <w:pStyle w:val="blockquote"/>
        <w:tabs>
          <w:tab w:val="clear" w:pos="215"/>
        </w:tabs>
      </w:pPr>
      <w:r>
        <w:t>First, the basic data of the sciences are first found in the life-world, as I have indicated. Second, life cannot be lived without overarching philosophic interpretations of the world which are beyond the proper scope of science. Man is a philosophic animal who can evade or postpone philosophic issues while he is doing science. But he cannot postpone them indefinitely as he exists in the world, and reflects seriously on his existence. The world requires global answers. For these and other reasons, I believe that the world horizon is prior and more inclusive. (7:18)</w:t>
      </w:r>
    </w:p>
    <w:p>
      <w:pPr>
        <w:spacing w:line="240" w:lineRule="auto"/>
        <w:widowControl/>
        <w:pStyle w:val="BodyText2"/>
      </w:pPr>
      <w:r>
        <w:t>Another proponent of phenomenology viewed the relationship between the life-world and the natural world quite differently. Marvin Farber’s (1963–1964) “The Philosophical Interest in Existence” found no difficulty with the notion of natural experience. He warned against the design of a special “philosophical anthropology” to encompass stretches of existence treated inadequately by naturalistic anthropology. His warning was stark and pointed—philosophers offering descriptions of “pure” experience arrive at features more theological than existential. Philosophical anthropology “is really a redesigning of a long-familiar traditional view of man, resting upon the hopes of many centuries” (7:208).</w:t>
      </w:r>
    </w:p>
    <w:p>
      <w:pPr>
        <w:spacing w:line="240" w:lineRule="auto"/>
        <w:widowControl/>
        <w:pStyle w:val="BodyText2"/>
      </w:pPr>
      <w:r>
        <w:t xml:space="preserve">If disconnected from the environing world, mind inflates to transcending and absolute dimensions. However, it is not the satisfyingly simple religious realm, but the frustratingly complex social realm, where we are most human: </w:t>
      </w:r>
    </w:p>
    <w:p>
      <w:pPr>
        <w:ind w:left="446"/>
        <w:spacing w:before="100" w:beforeAutospacing="0" w:after="100" w:afterAutospacing="0" w:line="240" w:lineRule="auto"/>
        <w:widowControl/>
        <w:pStyle w:val="blockquote"/>
        <w:tabs>
          <w:tab w:val="clear" w:pos="215"/>
        </w:tabs>
      </w:pPr>
      <w:r>
        <w:t>No account of existence is apt to be more one-sided and incomplete than one concerned with human existence. . . . A descriptive survey of human existence without mention of the actual nature of economic processes and social relations is seriously incomplete and may well be misleading. One is far closer to knowing human beings fundamentally by seeing them in factories and in the fields, in fulfilling professional functions, and in their competitive business undertakings. . . . How does this view of man compare with characteristic portrayals of man under the heading of “philosophical anthropology?” The emphasis often shifts to the supertemporal or nontemporal, to the “essential,” and away from the basic facts of natural experience. (7:209)</w:t>
      </w:r>
    </w:p>
    <w:p>
      <w:pPr>
        <w:spacing w:line="240" w:lineRule="auto"/>
        <w:widowControl/>
        <w:pStyle w:val="BodyText"/>
      </w:pPr>
      <w:r>
        <w:t>For Farber, seeking an unnaturally existential ontology only manages to “inject mystery into ontology” (7:217). Existence, however manifest, and not experience, is the genuine basis for philosophy. “The processes of physical nature and of the experience of real persons in the social and natural world constitute the starting-point for a real ontology, and not a fictional ego” (7:219).</w:t>
      </w:r>
    </w:p>
    <w:p>
      <w:pPr>
        <w:spacing w:line="240" w:lineRule="auto"/>
        <w:widowControl/>
        <w:pStyle w:val="BodyText2"/>
      </w:pPr>
      <w:r>
        <w:t>Other presidents similarly grappled with ways to situate the relationship between science and philosophy. Socio-cultural mediators are apparently needed.</w:t>
      </w:r>
    </w:p>
    <w:p>
      <w:pPr>
        <w:spacing w:line="240" w:lineRule="auto"/>
        <w:widowControl/>
        <w:pStyle w:val="BodyText2"/>
      </w:pPr>
      <w:r>
        <w:t>Perhaps there is a role for art? In his address, “Remarks—Mainly about Knowledge and Reality,” Barnett Savery (1960–1961) argued that in the same way that philosophers and scientists attempt to describe reality with their words, artists, too—whether they are writers, painters, musicians or sculptors—attempt to describe reality with their work. In fact, artists may more successful in their descriptions of reality than their scientific and philosophical counterparts.</w:t>
      </w:r>
    </w:p>
    <w:p>
      <w:pPr>
        <w:spacing w:line="240" w:lineRule="auto"/>
        <w:widowControl/>
        <w:pStyle w:val="BodyText2"/>
      </w:pPr>
      <w:r>
        <w:t xml:space="preserve">Savery explored the nature of knowledge and defended the realization that knowledge does not require certainty; it is not contradictory to suggest “I know, but I may be wrong.” Further, although knowledge has a descriptive character, it also has performative aspects. To say that one knows is sometimes to say that one has a certain state of mind, which is a description; but to say that one knows can also be a performative utterance, like a promise: </w:t>
      </w:r>
    </w:p>
    <w:p>
      <w:pPr>
        <w:ind w:left="446"/>
        <w:spacing w:before="100" w:beforeAutospacing="0" w:after="100" w:afterAutospacing="0" w:line="240" w:lineRule="auto"/>
        <w:widowControl/>
        <w:pStyle w:val="blockquote"/>
        <w:tabs>
          <w:tab w:val="clear" w:pos="215"/>
        </w:tabs>
      </w:pPr>
      <w:r>
        <w:t xml:space="preserve">In many cases of knowing, we do guarantee evidence, reasons, grounds, [and] justifications for our statements. These performances that support our statements help us distinguish instances of knowing from instances of belief. (7:28) </w:t>
      </w:r>
    </w:p>
    <w:p>
      <w:pPr>
        <w:spacing w:line="240" w:lineRule="auto"/>
        <w:widowControl/>
        <w:pStyle w:val="BodyText"/>
      </w:pPr>
      <w:r>
        <w:t xml:space="preserve">Further, the pragmatist may be right about knowledge in that it is a “relative rather than absolute concept” (7:31). Savery expressed concern about the concept that only logical and scientific knowledge is “proper” and he was downright skeptical of the proposition, “all ‘cognitive’ expressions must be expressed in propositional form” (7:31). If true, of course, art is in a much better position to capture such truths than science and philosophy and not only can art describe reality, but it can do so more successfully than philosophy and science—at least when it comes to such truths. </w:t>
      </w:r>
    </w:p>
    <w:p>
      <w:pPr>
        <w:spacing w:line="240" w:lineRule="auto"/>
        <w:widowControl/>
        <w:pStyle w:val="BodyText2"/>
      </w:pPr>
      <w:r>
        <w:t xml:space="preserve">Savery went on to show how art composed at a certain time expresses the philosophical attitudes of that time. Take, for example, “the Parthenon expresses the idea of the finite and the bounded” (7:33), found in Greek philosophy. Dante’s </w:t>
      </w:r>
      <w:r>
        <w:rPr>
          <w:i/>
        </w:rPr>
        <w:t>Divine Comedy</w:t>
      </w:r>
      <w:r>
        <w:t xml:space="preserve"> gives us a clearer picture of the Christian worldview than perhaps any of the medieval philosophers. The Baroque style and its “world of structure, matter, and motion” (7:34) reflected rationalism; representationalism, which gave us “the world of reality, of flesh and blood, with all its sensuousness and quality” (7:34), reflected empiricism. It was an era of anti-intellectualism in which Romanticism was born. In our current era, where the most accurate descriptions of reality are mathematical formulas, which seem to be “nonrepresentational,” perhaps the artist is best suited to “explain” the nature of reality. Perhaps, in fact, “reality is the imitation of art” (7:34).</w:t>
      </w:r>
    </w:p>
    <w:p>
      <w:pPr>
        <w:ind w:left="0" w:firstLine="0"/>
        <w:spacing w:before="60" w:beforeAutospacing="0" w:line="240" w:lineRule="auto"/>
        <w:jc w:val="left"/>
        <w:pStyle w:val="BodyText2"/>
      </w:pPr>
    </w:p>
    <w:p>
      <w:pPr>
        <w:spacing w:line="240" w:lineRule="auto"/>
        <w:pStyle w:val="BodyText"/>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sz w:val="18"/>
        </w:rPr>
      </w:pPr>
    </w:p>
    <w:p>
      <w:pPr>
        <w:spacing w:line="240" w:lineRule="auto"/>
        <w:pStyle w:val="BodyText"/>
        <w:rPr>
          <w:sz w:val="18"/>
        </w:rPr>
      </w:pPr>
      <w:r>
        <w:rPr>
          <w:sz w:val="18"/>
        </w:rPr>
      </w:r>
    </w:p>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 w:id="2">
    <w:p>
      <w:pPr>
        <w:jc w:val="center"/>
        <w:pStyle w:val="EndnoteText"/>
        <w:rPr>
          <w:sz w:val="20"/>
          <w:noProof w:val="1"/>
        </w:rPr>
      </w:pPr>
      <w:r>
        <w:rPr>
          <w:sz w:val="20"/>
          <w:b/>
          <w:noProof w:val="1"/>
        </w:rPr>
      </w:r>
      <w:bookmarkStart w:id="161" w:name="Notes"/>
      <w:r>
        <w:rPr>
          <w:sz w:val="20"/>
          <w:b/>
          <w:noProof w:val="1"/>
        </w:rPr>
        <w:t>Notes</w:t>
      </w:r>
      <w:bookmarkEnd w:id="161"/>
    </w:p>
    <w:p>
      <w:pPr>
        <w:ind w:left="0" w:firstLine="0"/>
        <w:spacing w:before="100" w:beforeAutospacing="0" w:after="100" w:afterAutospacing="0"/>
        <w:jc w:val="center"/>
        <w:pStyle w:val="EndnoteText"/>
        <w:rPr>
          <w:noProof w:val="1"/>
        </w:rPr>
      </w:pPr>
      <w:r>
        <w:rPr>
          <w:sz w:val="20"/>
          <w:b/>
          <w:noProof w:val="1"/>
        </w:rPr>
        <w:t>Editorial Foreword</w:t>
      </w:r>
    </w:p>
    <w:p>
      <w:pPr>
        <w:pStyle w:val="EndnoteText"/>
        <w:rPr>
          <w:noProof w:val="1"/>
        </w:rPr>
      </w:pPr>
      <w:r>
        <w:rPr>
          <w:rStyle w:val="EndnoteReference"/>
          <w:noProof w:val="1"/>
        </w:rPr>
        <w:endnoteRef/>
      </w:r>
      <w:r>
        <w:rPr>
          <w:noProof w:val="1"/>
        </w:rPr>
        <w:t xml:space="preserve"> </w:t>
      </w:r>
      <w:r>
        <w:t xml:space="preserve">John Dewey, </w:t>
      </w:r>
      <w:r>
        <w:rPr>
          <w:i/>
        </w:rPr>
        <w:t>Reconstruction in Philosophy</w:t>
      </w:r>
      <w:r>
        <w:t xml:space="preserve"> (Boston: Beacon Press, 1957/1948), p. 110</w:t>
      </w:r>
      <w:r>
        <w:rPr>
          <w:noProof w:val="1"/>
        </w:rPr>
      </w:r>
    </w:p>
  </w:endnote>
  <w:endnote w:id="3">
    <w:p>
      <w:pPr>
        <w:pStyle w:val="EndnoteText"/>
        <w:rPr>
          <w:noProof w:val="1"/>
        </w:rPr>
      </w:pPr>
      <w:r>
        <w:rPr>
          <w:rStyle w:val="EndnoteReference"/>
          <w:noProof w:val="1"/>
        </w:rPr>
        <w:endnoteRef/>
      </w:r>
      <w:r>
        <w:rPr>
          <w:noProof w:val="1"/>
        </w:rPr>
        <w:t xml:space="preserve"> </w:t>
      </w:r>
      <w:r>
        <w:t xml:space="preserve">John W. Davis, “A History of the American Society for Value Inquiry: Part One,” pp. 712–733, Eva H. Cadwallader, “A History of the American Society for Value Inquiry: Part Two,” pp. 735–741, and Robert W. Loftin, “A History of the American Society for Value Inquiry: Part Three,” pp. 749–752, in Sander H. Lee, ed., </w:t>
      </w:r>
      <w:r>
        <w:rPr>
          <w:i/>
        </w:rPr>
        <w:t>Inquiries into Values: The Inaugural Session of the International Society for Value Inquiry</w:t>
      </w:r>
      <w:r>
        <w:t>, vol. 11 in Problems in Contemporary Philosophy (Lewiston, NY: The Edwin Mellen Press, 1988).</w:t>
      </w:r>
      <w:r>
        <w:rPr>
          <w:noProof w:val="1"/>
        </w:rPr>
      </w:r>
    </w:p>
  </w:endnote>
  <w:endnote w:id="4">
    <w:p>
      <w:pPr>
        <w:pStyle w:val="EndnoteText"/>
        <w:rPr>
          <w:noProof w:val="1"/>
        </w:rPr>
      </w:pPr>
      <w:r>
        <w:rPr>
          <w:rStyle w:val="EndnoteReference"/>
          <w:noProof w:val="1"/>
        </w:rPr>
        <w:endnoteRef/>
      </w:r>
      <w:r>
        <w:rPr>
          <w:noProof w:val="1"/>
        </w:rPr>
        <w:t xml:space="preserve"> </w:t>
      </w:r>
      <w:r>
        <w:rPr>
          <w:kerning w:val="36"/>
        </w:rPr>
        <w:t xml:space="preserve">Richard T. Hull, ed., </w:t>
      </w:r>
      <w:r>
        <w:rPr>
          <w:i/>
          <w:kerning w:val="36"/>
        </w:rPr>
        <w:t xml:space="preserve">A Quarter Century of Value Inquiry </w:t>
      </w:r>
      <w:r>
        <w:rPr>
          <w:i/>
        </w:rPr>
        <w:t xml:space="preserve">Presidential Addresses before the American Society for Value Inquiry </w:t>
      </w:r>
      <w:r>
        <w:t>(Amsterdam: Rodopi, 1994).</w:t>
      </w:r>
      <w:r>
        <w:rPr>
          <w:noProof w:val="1"/>
        </w:rPr>
      </w:r>
    </w:p>
  </w:endnote>
  <w:endnote w:id="5">
    <w:p>
      <w:pPr>
        <w:pStyle w:val="EndnoteText"/>
        <w:rPr>
          <w:noProof w:val="1"/>
        </w:rPr>
      </w:pPr>
      <w:r>
        <w:rPr>
          <w:rStyle w:val="EndnoteReference"/>
          <w:noProof w:val="1"/>
        </w:rPr>
        <w:endnoteRef/>
      </w:r>
      <w:r>
        <w:rPr>
          <w:noProof w:val="1"/>
        </w:rPr>
        <w:t xml:space="preserve"> </w:t>
      </w:r>
      <w:r>
        <w:t>See Quinn’s “Political Liberalisms and Their Exclusions of the Religious,” vol. 10 of this series, pp. 317–341.</w:t>
      </w:r>
      <w:r>
        <w:rPr>
          <w:noProof w:val="1"/>
        </w:rPr>
      </w:r>
    </w:p>
  </w:endnote>
  <w:endnote w:id="6">
    <w:p>
      <w:pPr>
        <w:pStyle w:val="EndnoteText"/>
        <w:rPr>
          <w:noProof w:val="1"/>
        </w:rPr>
      </w:pPr>
      <w:r>
        <w:rPr>
          <w:rStyle w:val="EndnoteReference"/>
          <w:noProof w:val="1"/>
        </w:rPr>
        <w:endnoteRef/>
      </w:r>
      <w:r>
        <w:rPr>
          <w:noProof w:val="1"/>
        </w:rPr>
        <w:t xml:space="preserve"> </w:t>
      </w:r>
      <w:r>
        <w:t>“</w:t>
      </w:r>
      <w:r>
        <w:rPr>
          <w:color w:val="000000"/>
        </w:rPr>
        <w:t>The Criterion of Significance,” delivered 29 December 1949 before the Annual Meeting of the Pacific Division of the American Philosophical Association at Mills College, Oakland, California; reprinted this series, vol. 5, pp. 511–528.</w:t>
      </w:r>
      <w:r>
        <w:rPr>
          <w:noProof w:val="1"/>
        </w:rPr>
      </w:r>
    </w:p>
  </w:endnote>
  <w:endnote w:id="7">
    <w:p>
      <w:pPr>
        <w:pStyle w:val="EndnoteText"/>
        <w:rPr>
          <w:noProof w:val="1"/>
        </w:rPr>
      </w:pPr>
      <w:r>
        <w:rPr>
          <w:rStyle w:val="EndnoteReference"/>
          <w:noProof w:val="1"/>
        </w:rPr>
        <w:endnoteRef/>
      </w:r>
      <w:r>
        <w:rPr>
          <w:noProof w:val="1"/>
        </w:rPr>
        <w:t xml:space="preserve"> </w:t>
      </w:r>
      <w:r>
        <w:rPr>
          <w:color w:val="000000"/>
        </w:rPr>
        <w:t xml:space="preserve">Richard T. Hull, </w:t>
      </w:r>
      <w:r>
        <w:rPr>
          <w:i/>
          <w:color w:val="000000"/>
        </w:rPr>
        <w:t>Guide for Preparing Volumes in the Value Inquiry Book Series</w:t>
      </w:r>
      <w:r>
        <w:rPr>
          <w:color w:val="000000"/>
        </w:rPr>
        <w:t>, 3rd ed. (Amsterdam: Rodopi, 2003).</w:t>
      </w:r>
      <w:r>
        <w:rPr>
          <w:noProof w:val="1"/>
        </w:rPr>
      </w:r>
    </w:p>
  </w:endnote>
  <w:endnote w:id="8">
    <w:p>
      <w:pPr>
        <w:pStyle w:val="EndnoteText"/>
        <w:rPr>
          <w:noProof w:val="1"/>
        </w:rPr>
      </w:pPr>
      <w:r>
        <w:rPr>
          <w:rStyle w:val="EndnoteReference"/>
          <w:noProof w:val="1"/>
        </w:rPr>
        <w:endnoteRef/>
      </w:r>
      <w:r>
        <w:rPr>
          <w:noProof w:val="1"/>
        </w:rPr>
        <w:t xml:space="preserve"> </w:t>
      </w:r>
      <w:r>
        <w:rPr>
          <w:color w:val="000000"/>
        </w:rPr>
        <w:t>Presidential Address delivered 27 December 1946 before the annual meeting of the Eastern Division of the American Philosophical Association at the Hotel Taft, New Haven, Connecticut; reprinted this series, vol. 5, pp. 321–344.</w:t>
      </w:r>
      <w:r>
        <w:rPr>
          <w:noProof w:val="1"/>
        </w:rPr>
      </w:r>
    </w:p>
  </w:endnote>
  <w:endnote w:id="9">
    <w:p>
      <w:pPr>
        <w:pStyle w:val="EndnoteText"/>
        <w:rPr>
          <w:noProof w:val="1"/>
        </w:rPr>
      </w:pPr>
      <w:r>
        <w:rPr>
          <w:rStyle w:val="EndnoteReference"/>
          <w:noProof w:val="1"/>
        </w:rPr>
        <w:endnoteRef/>
      </w:r>
      <w:r>
        <w:rPr>
          <w:noProof w:val="1"/>
        </w:rPr>
        <w:t xml:space="preserve"> </w:t>
      </w:r>
      <w:r>
        <w:rPr>
          <w:color w:val="000000"/>
        </w:rPr>
        <w:t xml:space="preserve">“The text of Hill’s presidential address has been reported variously as ‘Psychology and Education,’ by Arthur O. Lovejoy, the </w:t>
      </w:r>
      <w:r>
        <w:rPr>
          <w:i/>
          <w:color w:val="000000"/>
        </w:rPr>
        <w:t>Journal of Philosophy</w:t>
      </w:r>
      <w:r>
        <w:rPr>
          <w:color w:val="000000"/>
        </w:rPr>
        <w:t xml:space="preserve"> 2, no. 14 (1905): 377 [and] ‘Philosophy and Education,’ </w:t>
      </w:r>
      <w:r>
        <w:rPr>
          <w:i/>
          <w:color w:val="000000"/>
        </w:rPr>
        <w:t>The Philosophical Review</w:t>
      </w:r>
      <w:r>
        <w:rPr>
          <w:color w:val="000000"/>
        </w:rPr>
        <w:t xml:space="preserve"> 14, no. 4 (July 1905): 508, was never published per se. The editor suspects that it was ‘cannibalized’ for other addresses. Reprinted here are portions of two other addresses, one delivered later the same year to the Missouri State Teachers’ Association (‘The Articulation of High Schools, Colleges, and Universities’), the other delivered in 1908 at Hill’s inauguration as President of the University of Missouri (‘The University and the State’). These addresses may well contain elements from the Presidential Address delivered 21 April 1905 to the Western Philosophical Association, at the University of Nebraska, Lincoln, Nebraska, and provide insight into the thinking of Hill” (1:152).</w:t>
      </w:r>
      <w:r>
        <w:rPr>
          <w:noProof w:val="1"/>
        </w:rPr>
      </w:r>
    </w:p>
  </w:endnote>
  <w:endnote w:id="10">
    <w:p>
      <w:pPr>
        <w:pStyle w:val="EndnoteText"/>
        <w:rPr>
          <w:noProof w:val="1"/>
        </w:rPr>
      </w:pPr>
      <w:r>
        <w:rPr>
          <w:rStyle w:val="EndnoteReference"/>
          <w:noProof w:val="1"/>
        </w:rPr>
        <w:endnoteRef/>
      </w:r>
      <w:r>
        <w:rPr>
          <w:noProof w:val="1"/>
        </w:rPr>
        <w:t xml:space="preserve"> </w:t>
      </w:r>
      <w:r>
        <w:t>This volume pp. 199–219.</w:t>
      </w:r>
      <w:r>
        <w:rPr>
          <w:noProof w:val="1"/>
        </w:rPr>
      </w:r>
    </w:p>
  </w:endnote>
  <w:endnote w:id="11">
    <w:p>
      <w:pPr>
        <w:pStyle w:val="EndnoteText"/>
        <w:rPr>
          <w:noProof w:val="1"/>
        </w:rPr>
      </w:pPr>
      <w:r>
        <w:rPr>
          <w:rStyle w:val="EndnoteReference"/>
          <w:noProof w:val="1"/>
        </w:rPr>
        <w:endnoteRef/>
      </w:r>
      <w:r>
        <w:rPr>
          <w:noProof w:val="1"/>
        </w:rPr>
        <w:t xml:space="preserve"> </w:t>
      </w:r>
      <w:r>
        <w:rPr>
          <w:color w:val="000000"/>
        </w:rPr>
        <w:t>Learning to create .epub (for Nook and Ipad) and .mobi (for Kindle) isn’t much more difficult than learning to create camera-ready copy, and the results of doing this process yourself (as opposed to using the Kindle converters available at amazon.com) is well worth the effort. You can have far more precise control of design in doing it yourself. I highly recommend Atlantis Word Processor for this, which now automatically creates the Kindle .mobi as it prints to .epub.</w:t>
      </w:r>
    </w:p>
    <w:p>
      <w:pPr>
        <w:ind w:left="0" w:firstLine="0"/>
        <w:spacing w:before="100" w:beforeAutospacing="0" w:after="100" w:afterAutospacing="0"/>
        <w:jc w:val="left"/>
        <w:pStyle w:val="EndnoteText"/>
        <w:rPr>
          <w:b/>
          <w:noProof w:val="1"/>
        </w:rPr>
      </w:pPr>
      <w:r>
        <w:rPr>
          <w:b/>
          <w:noProof w:val="1"/>
        </w:rPr>
        <w:t>Acknowledgments</w:t>
      </w:r>
      <w:r>
        <w:rPr>
          <w:b/>
          <w:noProof w:val="1"/>
        </w:rPr>
      </w:r>
    </w:p>
  </w:endnote>
  <w:endnote w:id="12">
    <w:p>
      <w:pPr>
        <w:widowControl/>
        <w:pStyle w:val="EndnoteText"/>
        <w:tabs>
          <w:tab w:val="left" w:pos="648" w:leader="none"/>
        </w:tabs>
        <w:rPr>
          <w:b/>
          <w:noProof w:val="1"/>
        </w:rPr>
      </w:pPr>
      <w:r>
        <w:rPr>
          <w:rStyle w:val="EndnoteReference"/>
          <w:noProof w:val="1"/>
        </w:rPr>
        <w:endnoteRef/>
      </w:r>
      <w:r>
        <w:rPr>
          <w:noProof w:val="1"/>
        </w:rPr>
        <w:t xml:space="preserve"> </w:t>
      </w:r>
      <w:r>
        <w:rPr>
          <w:i/>
          <w:noProof w:val="1"/>
        </w:rPr>
        <w:t>Dictionary of Modern American Philosophers</w:t>
      </w:r>
      <w:r>
        <w:rPr>
          <w:noProof w:val="1"/>
        </w:rPr>
        <w:t xml:space="preserve">, 4 vols., ed. John R. Shook (Bristol, UK: Thoemmes Continuum, 2005), and the </w:t>
      </w:r>
      <w:r>
        <w:rPr>
          <w:i/>
          <w:noProof w:val="1"/>
        </w:rPr>
        <w:t>Dictionary of Early American Philosophers</w:t>
      </w:r>
      <w:r>
        <w:rPr>
          <w:noProof w:val="1"/>
        </w:rPr>
        <w:t>, 2 vols., ed. John R. Shook (London and New York: Continuum, 2012).</w:t>
      </w:r>
      <w:r>
        <w:rPr>
          <w:b/>
          <w:noProof w:val="1"/>
        </w:rPr>
      </w:r>
    </w:p>
  </w:endnote>
  <w:endnote w:id="13">
    <w:p>
      <w:pPr>
        <w:ind w:left="0" w:firstLine="0"/>
        <w:spacing w:before="100" w:beforeAutospacing="0" w:after="100" w:afterAutospacing="0" w:line="240" w:lineRule="auto"/>
        <w:jc w:val="left"/>
        <w:widowControl/>
        <w:pStyle w:val="BodyText2"/>
        <w:rPr>
          <w:sz w:val="18"/>
          <w:noProof w:val="1"/>
        </w:rPr>
      </w:pPr>
      <w:r>
        <w:rPr>
          <w:sz w:val="18"/>
          <w:b/>
          <w:noProof w:val="1"/>
        </w:rPr>
        <w:t>Introduction</w:t>
      </w:r>
    </w:p>
    <w:p>
      <w:pPr>
        <w:pStyle w:val="EndnoteText"/>
        <w:rPr>
          <w:noProof w:val="1"/>
        </w:rPr>
      </w:pPr>
      <w:r>
        <w:rPr>
          <w:rStyle w:val="EndnoteReference"/>
          <w:noProof w:val="1"/>
        </w:rPr>
        <w:endnoteRef/>
      </w:r>
      <w:r>
        <w:rPr>
          <w:noProof w:val="1"/>
        </w:rPr>
        <w:t xml:space="preserve"> James Campbell, </w:t>
      </w:r>
      <w:r>
        <w:rPr>
          <w:i/>
          <w:noProof w:val="1"/>
        </w:rPr>
        <w:t>A Thoughtful Profession: The Early Years of the American Philosophical Association</w:t>
      </w:r>
      <w:r>
        <w:rPr>
          <w:noProof w:val="1"/>
        </w:rPr>
        <w:t xml:space="preserve"> (Chicago: Open Court, 2006).</w:t>
      </w:r>
      <w:r>
        <w:rPr>
          <w:noProof w:val="1"/>
        </w:rPr>
      </w:r>
    </w:p>
  </w:endnote>
  <w:endnote w:id="14">
    <w:p>
      <w:pPr>
        <w:pStyle w:val="EndnoteText"/>
      </w:pPr>
      <w:r>
        <w:rPr>
          <w:rStyle w:val="EndnoteReference"/>
        </w:rPr>
        <w:endnoteRef/>
      </w:r>
      <w:r>
        <w:t xml:space="preserve"> Bruce Wilshire, The Pluralist Rebellion in the American Philosophical Association, in </w:t>
      </w:r>
      <w:r>
        <w:rPr>
          <w:i/>
        </w:rPr>
        <w:t>Fashionable Nihilism: A Critique of Analytic Philosophy</w:t>
      </w:r>
      <w:r>
        <w:t xml:space="preserve"> (Albany: State University of New York Press, 2002), pp. 51–64.</w:t>
      </w:r>
      <w:r/>
    </w:p>
  </w:endnote>
  <w:endnote w:id="15">
    <w:p>
      <w:pPr>
        <w:pStyle w:val="EndnoteText"/>
      </w:pPr>
      <w:r>
        <w:rPr>
          <w:rStyle w:val="EndnoteReference"/>
        </w:rPr>
        <w:endnoteRef/>
      </w:r>
      <w:r>
        <w:t xml:space="preserve"> Neil Gross, </w:t>
      </w:r>
      <w:r>
        <w:rPr>
          <w:i/>
        </w:rPr>
        <w:t>Richard Rorty: The Making of an American Philosopher</w:t>
      </w:r>
      <w:r>
        <w:t xml:space="preserve"> (Chicago: University of Chicago Press, 2009), pp. 216–227.</w:t>
      </w:r>
      <w:r/>
    </w:p>
  </w:endnote>
  <w:endnote w:id="16">
    <w:p>
      <w:pPr>
        <w:pStyle w:val="EndnoteText"/>
      </w:pPr>
      <w:r>
        <w:rPr>
          <w:rStyle w:val="EndnoteReference"/>
        </w:rPr>
        <w:endnoteRef/>
      </w:r>
      <w:r>
        <w:t xml:space="preserve"> My thoughts especially turn to the several hundred contributors to the </w:t>
      </w:r>
      <w:r>
        <w:rPr>
          <w:i/>
        </w:rPr>
        <w:t>Dictionary of Modern American Philosophers</w:t>
      </w:r>
      <w:r>
        <w:t xml:space="preserve">, 4 vols., ed. John R. Shook (Bristol, UK: Thoemmes Continuum, 2005), and the </w:t>
      </w:r>
      <w:r>
        <w:rPr>
          <w:i/>
        </w:rPr>
        <w:t>Dictionary of Early American Philosophers</w:t>
      </w:r>
      <w:r>
        <w:t>, 2 vols., ed. John R. Shook (London and New York: Continuum, 2012).</w:t>
      </w:r>
      <w:r/>
    </w:p>
  </w:endnote>
  <w:endnote w:id="17">
    <w:p>
      <w:pPr>
        <w:ind w:left="0" w:firstLine="0"/>
        <w:spacing w:before="100" w:beforeAutospacing="0" w:after="100" w:afterAutospacing="0"/>
        <w:pStyle w:val="EndnoteText"/>
        <w:rPr>
          <w:b/>
          <w:noProof w:val="1"/>
        </w:rPr>
      </w:pPr>
      <w:r>
        <w:rPr>
          <w:b/>
          <w:noProof w:val="1"/>
        </w:rPr>
        <w:t>Good and Shook: The APA Presidential Addresses 1901–1910</w:t>
      </w:r>
    </w:p>
    <w:p>
      <w:pPr>
        <w:pStyle w:val="EndnoteText"/>
        <w:rPr>
          <w:noProof w:val="1"/>
        </w:rPr>
      </w:pPr>
      <w:r>
        <w:rPr>
          <w:rStyle w:val="EndnoteReference"/>
          <w:noProof w:val="1"/>
        </w:rPr>
        <w:endnoteRef/>
      </w:r>
      <w:r>
        <w:rPr>
          <w:noProof w:val="1"/>
        </w:rPr>
        <w:t xml:space="preserve"> Reference to the entire current association, (Eastern, Western, and Pacific divisions) is rendered as “Th American Philosophical Association” (The APA), with the definite article capitalized. The original organization, precursor to the Eastern Division, is rendered as “the American Philosophical Association” (the APA) with the definite article in lower case. This convention is used in all chapters of the volume.</w:t>
      </w:r>
      <w:r>
        <w:rPr>
          <w:noProof w:val="1"/>
        </w:rPr>
      </w:r>
    </w:p>
  </w:endnote>
  <w:endnote w:id="18">
    <w:p>
      <w:pPr>
        <w:ind w:left="0" w:firstLine="446"/>
        <w:spacing w:line="220" w:lineRule="exact"/>
        <w:widowControl/>
        <w:pStyle w:val="EndnoteText"/>
        <w:tabs>
          <w:tab w:val="left" w:pos="648" w:leader="none"/>
        </w:tabs>
      </w:pPr>
      <w:r>
        <w:rPr>
          <w:rStyle w:val="EndnoteReference"/>
        </w:rPr>
        <w:endnoteRef/>
      </w:r>
      <w:r>
        <w:t xml:space="preserve"> See for example, Thomas L. Haskell, </w:t>
      </w:r>
      <w:r>
        <w:rPr>
          <w:i/>
        </w:rPr>
        <w:t>The Emergence of Professional Social Science: The American Social Science Association and the Nineteenth Century Crisis of Authority</w:t>
      </w:r>
      <w:r>
        <w:t xml:space="preserve"> (Baltimore, MD: Johns Hopkins University Press, 2000); Peter Novick, </w:t>
      </w:r>
      <w:r>
        <w:rPr>
          <w:i/>
        </w:rPr>
        <w:t>That Noble Dream: The “Objectivity Question” and the American Historical Profession</w:t>
      </w:r>
      <w:r>
        <w:t xml:space="preserve"> (New York: Cambridge University Press, 1988); Bruce Kuklick, </w:t>
      </w:r>
      <w:r>
        <w:rPr>
          <w:i/>
        </w:rPr>
        <w:t>The Rise of American Philosophy: Cambridge, Massachusetts, 1860–1930</w:t>
      </w:r>
      <w:r>
        <w:t xml:space="preserve"> (New Haven, CT: Yale University Press, 1979); Richard Ohmann, </w:t>
      </w:r>
      <w:r>
        <w:rPr>
          <w:i/>
        </w:rPr>
        <w:t xml:space="preserve">English in America: A Radical View of the Profession </w:t>
      </w:r>
      <w:r>
        <w:t xml:space="preserve">(New York: Oxford University Press, 1976); Burton J. Bledstein, </w:t>
      </w:r>
      <w:r>
        <w:rPr>
          <w:i/>
        </w:rPr>
        <w:t>The Culture of Professionalism: The Middle Class and the Development of Higher Education in America</w:t>
      </w:r>
      <w:r>
        <w:t xml:space="preserve"> (New York: W.W. Norton, 1976); James Campbell, </w:t>
      </w:r>
      <w:r>
        <w:rPr>
          <w:i/>
        </w:rPr>
        <w:t>A Thoughtful Profession: The Early Years of the American Philosophical Association</w:t>
      </w:r>
      <w:r>
        <w:t xml:space="preserve"> (Chicago: Open Court, 2006).</w:t>
      </w:r>
      <w:r/>
    </w:p>
  </w:endnote>
  <w:endnote w:id="19">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See Kuklick, </w:t>
      </w:r>
      <w:r>
        <w:rPr>
          <w:i/>
        </w:rPr>
        <w:t>The Rise of American Philosophy</w:t>
      </w:r>
      <w:r>
        <w:t xml:space="preserve">; and Kuklick, </w:t>
      </w:r>
      <w:r>
        <w:rPr>
          <w:i/>
        </w:rPr>
        <w:t>Churchmen and Philosophers: From Jonathan Edwards to John Dewey</w:t>
      </w:r>
      <w:r>
        <w:t xml:space="preserve"> (New Haven, CT: Yale University Press, 1985).</w:t>
      </w:r>
      <w:r/>
    </w:p>
  </w:endnote>
  <w:endnote w:id="20">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An 1872 entry in Bronson Alcott’s journal related that philosophical discussion was superficial in Boston. According to Alcott, “philosophy is published in St. Louis”; see </w:t>
      </w:r>
      <w:r>
        <w:rPr>
          <w:i/>
        </w:rPr>
        <w:t>The Journals of Bronson Alcott</w:t>
      </w:r>
      <w:r>
        <w:t xml:space="preserve">, ed. Odell Shepard (Boston: Little, Brown, 1938), p. 444. It seems Emerson agreed with Alcott, which is why he encouraged Thomas Davidson to go to St. Louis in 1868. Davidson, “Autobiographical Sketch,” </w:t>
      </w:r>
      <w:r>
        <w:rPr>
          <w:i/>
        </w:rPr>
        <w:t>Journal of the History of Ideas</w:t>
      </w:r>
      <w:r>
        <w:t xml:space="preserve"> 8 (1957): 532. Accounts of Alcott’s and Emerson’s trips to St. Louis are also instructive on this point; see Henry A. Pochmann, </w:t>
      </w:r>
      <w:r>
        <w:rPr>
          <w:i/>
        </w:rPr>
        <w:t xml:space="preserve">German Culture in America; Philosophical and Literary Influences, 1600–1900 </w:t>
      </w:r>
      <w:r>
        <w:t xml:space="preserve">(Madison: University of Wisconsin Press, 1957), pp. 271–272; Alcott, </w:t>
      </w:r>
      <w:r>
        <w:rPr>
          <w:i/>
        </w:rPr>
        <w:t>The Journals of Bronson Alcott</w:t>
      </w:r>
      <w:r>
        <w:t xml:space="preserve">, p. 340; Henry Brokmeyer, </w:t>
      </w:r>
      <w:r>
        <w:rPr>
          <w:i/>
        </w:rPr>
        <w:t>A Mechanic’s Diary</w:t>
      </w:r>
      <w:r>
        <w:t xml:space="preserve"> (Washington, D.C.: E.C. Brokmeyer Publisher, 1910), pp. 229–233; and Emerson, vol 5 of </w:t>
      </w:r>
      <w:r>
        <w:rPr>
          <w:i/>
        </w:rPr>
        <w:t>The Letters of Ralph Waldo Emerson</w:t>
      </w:r>
      <w:r>
        <w:t>, ed. Ralph L. Rusk (New York: Columbia University Press, 1939), pp. 421–422, 514, 521.</w:t>
      </w:r>
      <w:r/>
    </w:p>
  </w:endnote>
  <w:endnote w:id="21">
    <w:p>
      <w:pPr>
        <w:ind w:left="0" w:firstLine="446"/>
        <w:spacing w:line="220" w:lineRule="exact"/>
        <w:widowControl/>
        <w:pStyle w:val="EndnoteText"/>
        <w:tabs>
          <w:tab w:val="left" w:pos="648" w:leader="none"/>
        </w:tabs>
      </w:pPr>
      <w:r>
        <w:rPr>
          <w:rStyle w:val="EndnoteReference"/>
        </w:rPr>
        <w:endnoteRef/>
      </w:r>
      <w:r>
        <w:t xml:space="preserve"> Denton Snider (1841–1925), one of the leading members of the St. Louis Hegelians, decided that his vocation was to be a writer of books. Indeed, he published more than forty books, but also worked for Harris as a public school teacher and administrator, worked briefly in Jane Addams’s Hull House, and was an indefatigable public lecturer on classical literature and philosophy. Henry Conrad Brokmeyer (1818–1906) is another interesting example. A co-founder of the St. Louis Philosophical and Literary Society, Brockmeyer also served in the Missouri legislature, on the St. Louis Board of Aldermen, and even served a term of lieutenant governor of Missouri (1877–1881). For more on the St. Louis Hegelians’ conception of philosophy, see James A. Good’s Introduction to </w:t>
      </w:r>
      <w:r>
        <w:rPr>
          <w:i/>
        </w:rPr>
        <w:t>The Journal of Speculative Philosophy</w:t>
      </w:r>
      <w:r>
        <w:t xml:space="preserve"> </w:t>
      </w:r>
      <w:r>
        <w:rPr>
          <w:i/>
        </w:rPr>
        <w:t>(1867–93)</w:t>
      </w:r>
      <w:r>
        <w:t xml:space="preserve">, 22 vols. (Bristol, UK: Thoemmes Press, 2002); Good, “The Value of Thomas Davidson,” </w:t>
      </w:r>
      <w:r>
        <w:rPr>
          <w:i/>
        </w:rPr>
        <w:t>Transactions of the Charles S. Peirce Society</w:t>
      </w:r>
      <w:r>
        <w:t xml:space="preserve"> 40 (2004): 289–318; and Good, The St. Louis Hegelians and the Lost </w:t>
      </w:r>
      <w:r>
        <w:rPr>
          <w:i/>
        </w:rPr>
        <w:t>Bildung</w:t>
      </w:r>
      <w:r>
        <w:t xml:space="preserve"> Tradition in American Philosophy, in </w:t>
      </w:r>
      <w:r>
        <w:rPr>
          <w:i/>
        </w:rPr>
        <w:t>The St. Louis Philosophical Movement</w:t>
      </w:r>
      <w:r>
        <w:t>, ed. Britt-Marie Schiller (St. Louis: Webster University Press, 2009), pp. 9–26.</w:t>
      </w:r>
      <w:r/>
    </w:p>
  </w:endnote>
  <w:endnote w:id="22">
    <w:p>
      <w:pPr>
        <w:ind w:left="0" w:firstLine="446"/>
        <w:spacing w:line="220" w:lineRule="exact"/>
        <w:widowControl/>
        <w:pStyle w:val="EndnoteText"/>
        <w:tabs>
          <w:tab w:val="left" w:pos="648" w:leader="none"/>
        </w:tabs>
      </w:pPr>
      <w:r>
        <w:rPr>
          <w:rStyle w:val="EndnoteReference"/>
        </w:rPr>
        <w:endnoteRef/>
      </w:r>
      <w:r>
        <w:t xml:space="preserve"> William James. </w:t>
      </w:r>
      <w:r>
        <w:rPr>
          <w:i/>
        </w:rPr>
        <w:t xml:space="preserve">The Will to Believe and Other Essays </w:t>
      </w:r>
      <w:r>
        <w:t xml:space="preserve">(London: Longmans, Green, and Co., 1897); John Dewey, et al., </w:t>
      </w:r>
      <w:r>
        <w:rPr>
          <w:i/>
        </w:rPr>
        <w:t>Studies in Logical Theory</w:t>
      </w:r>
      <w:r>
        <w:t xml:space="preserve"> (Chicago: University of Chicago Press, 1903); F. C. S. Schiller, </w:t>
      </w:r>
      <w:r>
        <w:rPr>
          <w:i/>
        </w:rPr>
        <w:t>Humanism: Philosophical Essays</w:t>
      </w:r>
      <w:r>
        <w:t xml:space="preserve"> (London: MacMillan, 1903).</w:t>
      </w:r>
      <w:r/>
    </w:p>
  </w:endnote>
  <w:endnote w:id="23">
    <w:p>
      <w:pPr>
        <w:ind w:left="0" w:firstLine="446"/>
        <w:spacing w:line="220" w:lineRule="exact"/>
        <w:widowControl/>
        <w:pStyle w:val="EndnoteText"/>
        <w:tabs>
          <w:tab w:val="left" w:pos="648" w:leader="none"/>
        </w:tabs>
      </w:pPr>
      <w:r>
        <w:rPr>
          <w:rStyle w:val="EndnoteReference"/>
        </w:rPr>
        <w:endnoteRef/>
      </w:r>
      <w:r>
        <w:t xml:space="preserve"> William James, </w:t>
      </w:r>
      <w:r>
        <w:rPr>
          <w:i/>
        </w:rPr>
        <w:t>Pragmatism: A New Name for Some Old Ways of Thinking</w:t>
      </w:r>
      <w:r>
        <w:t xml:space="preserve"> (Cambridge, MA: Harvard University Press, 1907). For recent sources on pragmatism in German idealism, see James A. Good, </w:t>
      </w:r>
      <w:r>
        <w:rPr>
          <w:i/>
        </w:rPr>
        <w:t>A Search for Unity in Diversity: The “Permanent Hegelian Deposit” in the Philosophy of John Dewey</w:t>
      </w:r>
      <w:r>
        <w:t xml:space="preserve"> (Lanham, MD: Lexington Books, 2006); and Daniel Breazeale, “Fichte’s Conception of Philosophy as a ‘Pragmatic History of the Human Mind’ and the Contributions of Kant, Platner, and Maimon,” </w:t>
      </w:r>
      <w:r>
        <w:rPr>
          <w:i/>
        </w:rPr>
        <w:t>Journal of the History of Ideas</w:t>
      </w:r>
      <w:r>
        <w:t xml:space="preserve"> 62 (2001): 685–703. Royce’s interpretation of Hegel is also relevant to the relationship between pragmatism and idealism. For an interesting recent article on that topic, see John Kaag, “American Interpretations of Hegel: Josiah Royce’s Philosophy of Loyalty,” </w:t>
      </w:r>
      <w:r>
        <w:rPr>
          <w:i/>
        </w:rPr>
        <w:t>History of Philosophy Quarterly</w:t>
      </w:r>
      <w:r>
        <w:t xml:space="preserve"> 26 (January 2009): 83–101.</w:t>
      </w:r>
      <w:r/>
    </w:p>
  </w:endnote>
  <w:endnote w:id="24">
    <w:p>
      <w:pPr>
        <w:ind w:left="0" w:firstLine="446"/>
        <w:spacing w:line="220" w:lineRule="exact"/>
        <w:widowControl/>
        <w:pStyle w:val="EndnoteText"/>
        <w:tabs>
          <w:tab w:val="left" w:pos="648" w:leader="none"/>
        </w:tabs>
      </w:pPr>
      <w:r>
        <w:rPr>
          <w:rStyle w:val="EndnoteReference"/>
        </w:rPr>
        <w:endnoteRef/>
      </w:r>
      <w:r>
        <w:t xml:space="preserve"> Royce, “Kant’s Relation to Modern Philosophical Progress,” </w:t>
      </w:r>
      <w:r>
        <w:rPr>
          <w:i/>
        </w:rPr>
        <w:t>Journal of Speculative Philosophy</w:t>
      </w:r>
      <w:r>
        <w:t xml:space="preserve"> 15 (October 1881): 360–381.</w:t>
      </w:r>
      <w:r/>
    </w:p>
  </w:endnote>
  <w:endnote w:id="25">
    <w:p>
      <w:pPr>
        <w:ind w:left="0" w:firstLine="446"/>
        <w:spacing w:line="220" w:lineRule="exact"/>
        <w:widowControl/>
        <w:pStyle w:val="EndnoteText"/>
        <w:tabs>
          <w:tab w:val="left" w:pos="648" w:leader="none"/>
        </w:tabs>
      </w:pPr>
      <w:r>
        <w:rPr>
          <w:rStyle w:val="EndnoteReference"/>
        </w:rPr>
        <w:endnoteRef/>
      </w:r>
      <w:r>
        <w:t xml:space="preserve"> Ladd, George Trumbull, </w:t>
      </w:r>
      <w:r>
        <w:rPr>
          <w:i/>
        </w:rPr>
        <w:t>Psychology, Descriptive and Explanatory: A Treatise of the Phenomena, Laws, and Development of Human Mental Life</w:t>
      </w:r>
      <w:r>
        <w:t xml:space="preserve"> (New York, C. Scribner’s Sons, 1894).</w:t>
      </w:r>
      <w:r/>
    </w:p>
  </w:endnote>
  <w:endnote w:id="26">
    <w:p>
      <w:pPr>
        <w:ind w:left="0" w:firstLine="446"/>
        <w:spacing w:line="220" w:lineRule="exact"/>
        <w:widowControl/>
        <w:pStyle w:val="EndnoteText"/>
        <w:tabs>
          <w:tab w:val="left" w:pos="648" w:leader="none"/>
        </w:tabs>
      </w:pPr>
      <w:r>
        <w:rPr>
          <w:rStyle w:val="EndnoteReference"/>
        </w:rPr>
        <w:endnoteRef/>
      </w:r>
      <w:r>
        <w:t xml:space="preserve"> This essay was previously examined, through a different lens, in Good, </w:t>
      </w:r>
      <w:r>
        <w:rPr>
          <w:i/>
        </w:rPr>
        <w:t>A Search for Unity in Diversity</w:t>
      </w:r>
      <w:r>
        <w:t>, pp. 236–237.</w:t>
      </w:r>
      <w:r/>
    </w:p>
  </w:endnote>
  <w:endnote w:id="27">
    <w:p>
      <w:pPr>
        <w:ind w:left="0" w:firstLine="446"/>
        <w:spacing w:line="220" w:lineRule="exact"/>
        <w:widowControl/>
        <w:pStyle w:val="EndnoteText"/>
        <w:tabs>
          <w:tab w:val="left" w:pos="648" w:leader="none"/>
        </w:tabs>
      </w:pPr>
      <w:r>
        <w:rPr>
          <w:rStyle w:val="EndnoteReference"/>
        </w:rPr>
        <w:endnoteRef/>
      </w:r>
      <w:r>
        <w:t xml:space="preserve"> Dewey, The Psychological Standpoint (1886), in vol. 1 of </w:t>
      </w:r>
      <w:r>
        <w:rPr>
          <w:i/>
        </w:rPr>
        <w:t>The Early Works of John Dewey</w:t>
      </w:r>
      <w:r>
        <w:t xml:space="preserve">, ed. Jo Ann Boydston (Carbondale: Southern Illinois University Press, 1972), pp. 123, 125, 127. For more on the development of Dewey’s conception of the psychological standpoint, see Good, </w:t>
      </w:r>
      <w:r>
        <w:rPr>
          <w:i/>
        </w:rPr>
        <w:t>A Search for Unity in Diversity</w:t>
      </w:r>
      <w:r>
        <w:t xml:space="preserve">, pp. 134–137. Shook provides further insight into Dewey’s use of the psychological standpoint in </w:t>
      </w:r>
      <w:r>
        <w:rPr>
          <w:i/>
        </w:rPr>
        <w:t>Dewey’s Empirical Theory of Knowledge and Reality</w:t>
      </w:r>
      <w:r>
        <w:t xml:space="preserve"> (Nashville, TN: Vanderbilt University Press, 2000), pp. 44–46.</w:t>
      </w:r>
      <w:r/>
    </w:p>
  </w:endnote>
  <w:endnote w:id="28">
    <w:p>
      <w:pPr>
        <w:ind w:left="446" w:firstLine="0"/>
        <w:spacing w:line="220" w:lineRule="exact"/>
        <w:widowControl/>
        <w:pStyle w:val="EndnoteText"/>
        <w:tabs>
          <w:tab w:val="left" w:pos="648" w:leader="none"/>
        </w:tabs>
      </w:pPr>
      <w:r>
        <w:rPr>
          <w:rStyle w:val="EndnoteReference"/>
        </w:rPr>
        <w:endnoteRef/>
      </w:r>
      <w:r>
        <w:rPr>
          <w:vertAlign w:val="superscript"/>
        </w:rPr>
        <w:t xml:space="preserve"> </w:t>
      </w:r>
      <w:r>
        <w:t xml:space="preserve">Dewey, </w:t>
      </w:r>
      <w:r>
        <w:rPr>
          <w:i/>
        </w:rPr>
        <w:t>The Reflex Arc Concept in Psychology</w:t>
      </w:r>
      <w:r>
        <w:t xml:space="preserve"> (Chicago: University of Chicago Press, 1896).</w:t>
      </w:r>
      <w:r/>
    </w:p>
  </w:endnote>
  <w:endnote w:id="29">
    <w:p>
      <w:pPr>
        <w:ind w:left="0" w:firstLine="446"/>
        <w:spacing w:line="220" w:lineRule="exact"/>
        <w:widowControl/>
        <w:pStyle w:val="EndnoteText"/>
        <w:tabs>
          <w:tab w:val="left" w:pos="648" w:leader="none"/>
        </w:tabs>
      </w:pPr>
      <w:r>
        <w:rPr>
          <w:rStyle w:val="EndnoteReference"/>
        </w:rPr>
        <w:endnoteRef/>
      </w:r>
      <w:r>
        <w:t xml:space="preserve"> Dewey, The Postulate of Immediate Empiricism (1905), in vol. 3 of </w:t>
      </w:r>
      <w:r>
        <w:rPr>
          <w:i/>
        </w:rPr>
        <w:t>The Middle Works of John Dewey</w:t>
      </w:r>
      <w:r>
        <w:t>, ed. Jo Ann Boydston (Carbondale: Southern Illinois University Press, 1977), p. 158.</w:t>
      </w:r>
      <w:r/>
    </w:p>
  </w:endnote>
  <w:endnote w:id="30">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Good, </w:t>
      </w:r>
      <w:r>
        <w:rPr>
          <w:i/>
        </w:rPr>
        <w:t>A Search for Unity in Diversity</w:t>
      </w:r>
      <w:r>
        <w:t>, pp. 137ff.</w:t>
      </w:r>
      <w:r/>
    </w:p>
  </w:endnote>
  <w:endnote w:id="31">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Dewey first used the term “epistemological industry” in “Psychology and Philosophic Method,” initially published in the </w:t>
      </w:r>
      <w:r>
        <w:rPr>
          <w:i/>
        </w:rPr>
        <w:t>University</w:t>
      </w:r>
      <w:r>
        <w:t xml:space="preserve"> </w:t>
      </w:r>
      <w:r>
        <w:rPr>
          <w:i/>
        </w:rPr>
        <w:t>Chronicle</w:t>
      </w:r>
      <w:r>
        <w:t xml:space="preserve"> 2 (1899): 159–179 (California). This essay was reprinted separately as “Consciousness” and Experience, in </w:t>
      </w:r>
      <w:r>
        <w:rPr>
          <w:i/>
        </w:rPr>
        <w:t>The Influence of Darwin on Philosophy</w:t>
      </w:r>
      <w:r>
        <w:t xml:space="preserve"> (New York: Henry Holt, 1910), pp. 242–270.</w:t>
      </w:r>
      <w:r/>
    </w:p>
  </w:endnote>
  <w:endnote w:id="32">
    <w:p>
      <w:pPr>
        <w:ind w:left="0" w:firstLine="446"/>
        <w:spacing w:line="220" w:lineRule="exact"/>
        <w:widowControl/>
        <w:pStyle w:val="EndnoteText"/>
        <w:tabs>
          <w:tab w:val="left" w:pos="648" w:leader="none"/>
        </w:tabs>
      </w:pPr>
      <w:r>
        <w:rPr>
          <w:rStyle w:val="EndnoteReference"/>
        </w:rPr>
        <w:endnoteRef/>
      </w:r>
      <w:r>
        <w:t xml:space="preserve"> For a fascinating account of the interplay between the rise of pragmatism and the profound post-Civil War economic transformation, see James Livingston, </w:t>
      </w:r>
      <w:r>
        <w:rPr>
          <w:i/>
        </w:rPr>
        <w:t>Pragmatism and the Political Economy of Cultural Revolution, 1850–1940</w:t>
      </w:r>
      <w:r>
        <w:t xml:space="preserve"> (Chapel Hill: University of North Carolina Press, 1994).</w:t>
      </w:r>
      <w:r/>
    </w:p>
  </w:endnote>
  <w:endnote w:id="33">
    <w:p>
      <w:pPr>
        <w:ind w:left="0" w:firstLine="446"/>
        <w:spacing w:line="220" w:lineRule="exact"/>
        <w:widowControl/>
        <w:pStyle w:val="EndnoteText"/>
        <w:tabs>
          <w:tab w:val="left" w:pos="648" w:leader="none"/>
        </w:tabs>
      </w:pPr>
      <w:r>
        <w:rPr>
          <w:rStyle w:val="EndnoteReference"/>
        </w:rPr>
        <w:endnoteRef/>
      </w:r>
      <w:r>
        <w:t xml:space="preserve"> James, </w:t>
      </w:r>
      <w:r>
        <w:rPr>
          <w:i/>
        </w:rPr>
        <w:t>The Principles of Psychology</w:t>
      </w:r>
      <w:r>
        <w:t xml:space="preserve"> (New York: H. Holt, 1890); </w:t>
      </w:r>
      <w:r>
        <w:rPr>
          <w:i/>
        </w:rPr>
        <w:t>The Varieties of Religious Experience; A Study in Human nature; Being the Gifford Lectures on Natural Religion Delivered at Edinburgh in 1901–1902</w:t>
      </w:r>
      <w:r>
        <w:t xml:space="preserve"> (New York: Modern Library, 1902).</w:t>
      </w:r>
      <w:r/>
    </w:p>
  </w:endnote>
  <w:endnote w:id="34">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William James called this “healthy-mindedness” in </w:t>
      </w:r>
      <w:r>
        <w:rPr>
          <w:i/>
        </w:rPr>
        <w:t>The Principles of Psychology</w:t>
      </w:r>
      <w:r>
        <w:t xml:space="preserve"> (New York: H. Holt, 1890); </w:t>
      </w:r>
      <w:r>
        <w:rPr>
          <w:i/>
        </w:rPr>
        <w:t>The Varieties of Religious Experience; A Study in Human nature; Being the Gifford Lectures on Natural Religion Delivered at Edinburgh in 1901–1902</w:t>
      </w:r>
      <w:r>
        <w:t xml:space="preserve"> (New York: Modern Library, 1902).</w:t>
      </w:r>
      <w:r/>
    </w:p>
  </w:endnote>
  <w:endnote w:id="35">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One is reminded here of psychologist Jonathan Haidt’s current classifications for bases to moral judgments; see his </w:t>
      </w:r>
      <w:r>
        <w:rPr>
          <w:i/>
        </w:rPr>
        <w:t xml:space="preserve">The Righteous Mind: Why Good People are Divided by Politics and Religion </w:t>
      </w:r>
      <w:r>
        <w:t>(New York: Pantheon Books, 2012).</w:t>
      </w:r>
      <w:r/>
    </w:p>
  </w:endnote>
  <w:endnote w:id="36">
    <w:p>
      <w:pPr>
        <w:spacing w:line="240" w:lineRule="auto"/>
        <w:widowControl/>
        <w:pStyle w:val="BodyText2"/>
      </w:pPr>
      <w:r>
        <w:rPr>
          <w:rStyle w:val="EndnoteReference"/>
        </w:rPr>
        <w:endnoteRef/>
      </w:r>
      <w:r>
        <w:t xml:space="preserve"> </w:t>
      </w:r>
      <w:r>
        <w:rPr>
          <w:sz w:val="18"/>
        </w:rPr>
        <w:t xml:space="preserve">Today’s philosophers may recognize the essentials of the knowledge (“Super-scientist Mary”) argument offered by Frank Jackson in “Epiphenomenal Qualia,” </w:t>
      </w:r>
      <w:r>
        <w:rPr>
          <w:sz w:val="18"/>
          <w:i/>
        </w:rPr>
        <w:t>Philosophical Quarterly</w:t>
      </w:r>
      <w:r>
        <w:rPr>
          <w:sz w:val="18"/>
        </w:rPr>
        <w:t xml:space="preserve"> 32 (1982): 127–136.</w:t>
      </w:r>
      <w:r/>
    </w:p>
  </w:endnote>
  <w:endnote w:id="37">
    <w:p>
      <w:pPr>
        <w:ind w:left="0" w:firstLine="0"/>
        <w:spacing w:before="100" w:beforeAutospacing="0" w:after="100" w:afterAutospacing="0"/>
        <w:jc w:val="left"/>
        <w:widowControl/>
        <w:pStyle w:val="EndnoteText"/>
        <w:tabs>
          <w:tab w:val="left" w:pos="648" w:leader="none"/>
        </w:tabs>
        <w:rPr>
          <w:b/>
          <w:noProof w:val="1"/>
        </w:rPr>
      </w:pPr>
      <w:r>
        <w:rPr>
          <w:sz w:val="20"/>
          <w:b/>
          <w:noProof w:val="1"/>
        </w:rPr>
        <w:t>Auxier: A Moment of Shining Relevance</w:t>
      </w:r>
    </w:p>
    <w:p>
      <w:pPr>
        <w:ind w:left="0" w:firstLine="446"/>
        <w:widowControl/>
        <w:pStyle w:val="EndnoteText"/>
        <w:tabs>
          <w:tab w:val="left" w:pos="648" w:leader="none"/>
        </w:tabs>
        <w:rPr>
          <w:b/>
          <w:noProof w:val="1"/>
        </w:rPr>
      </w:pPr>
      <w:r>
        <w:rPr>
          <w:rStyle w:val="EndnoteReference"/>
          <w:noProof w:val="1"/>
        </w:rPr>
        <w:endnoteRef/>
      </w:r>
      <w:r>
        <w:rPr>
          <w:noProof w:val="1"/>
        </w:rPr>
        <w:t xml:space="preserve"> Barbara Tuchman, </w:t>
      </w:r>
      <w:r>
        <w:rPr>
          <w:i/>
          <w:noProof w:val="1"/>
        </w:rPr>
        <w:t>The Guns of August</w:t>
      </w:r>
      <w:r>
        <w:rPr>
          <w:noProof w:val="1"/>
        </w:rPr>
        <w:t xml:space="preserve"> (New York: Macmillan, 1962).</w:t>
      </w:r>
      <w:r>
        <w:rPr>
          <w:b/>
          <w:noProof w:val="1"/>
        </w:rPr>
      </w:r>
    </w:p>
  </w:endnote>
  <w:endnote w:id="38">
    <w:p>
      <w:pPr>
        <w:ind w:left="0" w:firstLine="446"/>
        <w:widowControl/>
        <w:pStyle w:val="EndnoteText"/>
        <w:tabs>
          <w:tab w:val="left" w:pos="648" w:leader="none"/>
        </w:tabs>
      </w:pPr>
      <w:r>
        <w:rPr>
          <w:rStyle w:val="EndnoteReference"/>
        </w:rPr>
        <w:endnoteRef/>
      </w:r>
      <w:r>
        <w:t xml:space="preserve"> Barbara Tuchman, </w:t>
      </w:r>
      <w:r>
        <w:rPr>
          <w:i/>
        </w:rPr>
        <w:t>The Proud Tower: A Portrait of the World before the War, 1890–1914</w:t>
      </w:r>
      <w:r>
        <w:t xml:space="preserve"> (New York: Macmillan, 1966).</w:t>
      </w:r>
      <w:r/>
    </w:p>
  </w:endnote>
  <w:endnote w:id="39">
    <w:p>
      <w:pPr>
        <w:ind w:left="0" w:firstLine="446"/>
        <w:widowControl/>
        <w:pStyle w:val="EndnoteText"/>
        <w:tabs>
          <w:tab w:val="left" w:pos="648" w:leader="none"/>
        </w:tabs>
      </w:pPr>
      <w:r>
        <w:rPr>
          <w:rStyle w:val="EndnoteReference"/>
        </w:rPr>
        <w:endnoteRef/>
      </w:r>
      <w:r>
        <w:t xml:space="preserve">. Friedrich Nietzsche, </w:t>
      </w:r>
      <w:r>
        <w:rPr>
          <w:i/>
        </w:rPr>
        <w:t>The Will to Power</w:t>
      </w:r>
      <w:r>
        <w:t xml:space="preserve"> (New York: Knopf Doubleday Publishing Group, 2011), p. 56 (e-book).</w:t>
      </w:r>
      <w:r/>
    </w:p>
  </w:endnote>
  <w:endnote w:id="40">
    <w:p>
      <w:pPr>
        <w:ind w:left="0" w:firstLine="446"/>
        <w:widowControl/>
        <w:pStyle w:val="EndnoteText"/>
        <w:tabs>
          <w:tab w:val="left" w:pos="648" w:leader="none"/>
        </w:tabs>
      </w:pPr>
      <w:r>
        <w:rPr>
          <w:rStyle w:val="EndnoteReference"/>
        </w:rPr>
        <w:endnoteRef/>
      </w:r>
      <w:r>
        <w:t xml:space="preserve"> The image of the proud tower was taken by Tuchman from Edgar Allan Poe’s poem “The City in the Sea,” which can be found in </w:t>
      </w:r>
      <w:r>
        <w:rPr>
          <w:i/>
        </w:rPr>
        <w:t>The Oxford Book of American Light Verse</w:t>
      </w:r>
      <w:r>
        <w:t xml:space="preserve"> (New York: Oxford University Press, 1979). For those who have never taken a few moments to read this poem, it is short and it is worth the effort.</w:t>
      </w:r>
      <w:r/>
    </w:p>
  </w:endnote>
  <w:endnote w:id="41">
    <w:p>
      <w:pPr>
        <w:ind w:left="0" w:firstLine="446"/>
        <w:widowControl/>
        <w:pStyle w:val="EndnoteText"/>
        <w:tabs>
          <w:tab w:val="left" w:pos="648" w:leader="none"/>
        </w:tabs>
      </w:pPr>
      <w:r>
        <w:rPr>
          <w:rStyle w:val="EndnoteReference"/>
        </w:rPr>
        <w:endnoteRef/>
      </w:r>
      <w:r>
        <w:t xml:space="preserve"> See, for example, Royce’s history, </w:t>
      </w:r>
      <w:r>
        <w:rPr>
          <w:i/>
        </w:rPr>
        <w:t xml:space="preserve">California: A Study of American Character: From the Conquest in 1846 to the Second Vigilance Committee in San Francisco </w:t>
      </w:r>
      <w:r>
        <w:t>(Boston: Houghton Mifflin, 1886).</w:t>
      </w:r>
      <w:r/>
    </w:p>
  </w:endnote>
  <w:endnote w:id="42">
    <w:p>
      <w:pPr>
        <w:ind w:left="0" w:firstLine="446"/>
        <w:widowControl/>
        <w:pStyle w:val="EndnoteText"/>
        <w:tabs>
          <w:tab w:val="left" w:pos="648" w:leader="none"/>
        </w:tabs>
      </w:pPr>
      <w:r>
        <w:rPr>
          <w:rStyle w:val="EndnoteReference"/>
        </w:rPr>
        <w:endnoteRef/>
      </w:r>
      <w:r>
        <w:t xml:space="preserve"> I have discussed the formation of The APA in some detail in </w:t>
      </w:r>
      <w:r>
        <w:rPr>
          <w:i/>
        </w:rPr>
        <w:t>Time, Will, and Purpose</w:t>
      </w:r>
      <w:r>
        <w:t xml:space="preserve"> (Chicago: Open Court, 2013).</w:t>
      </w:r>
      <w:r/>
    </w:p>
  </w:endnote>
  <w:endnote w:id="43">
    <w:p>
      <w:pPr>
        <w:ind w:left="0" w:firstLine="446"/>
        <w:widowControl/>
        <w:pStyle w:val="EndnoteText"/>
        <w:tabs>
          <w:tab w:val="left" w:pos="648" w:leader="none"/>
        </w:tabs>
      </w:pPr>
      <w:r>
        <w:rPr>
          <w:rStyle w:val="EndnoteReference"/>
        </w:rPr>
        <w:endnoteRef/>
      </w:r>
      <w:r>
        <w:t xml:space="preserve"> James Campbell, </w:t>
      </w:r>
      <w:r>
        <w:rPr>
          <w:i/>
        </w:rPr>
        <w:t>A Thoughtful Profession: The Early Years of the American Philosophical Association</w:t>
      </w:r>
      <w:r>
        <w:t xml:space="preserve"> (Chicago: Open Court, 2006), p. 34. </w:t>
      </w:r>
      <w:r/>
    </w:p>
  </w:endnote>
  <w:endnote w:id="44">
    <w:p>
      <w:pPr>
        <w:ind w:left="0" w:firstLine="446"/>
        <w:widowControl/>
        <w:pStyle w:val="EndnoteText"/>
        <w:tabs>
          <w:tab w:val="left" w:pos="648" w:leader="none"/>
        </w:tabs>
      </w:pPr>
      <w:r>
        <w:rPr>
          <w:rStyle w:val="EndnoteReference"/>
        </w:rPr>
        <w:endnoteRef/>
      </w:r>
      <w:r>
        <w:t xml:space="preserve"> This movement has been well documented by numerous historians, from Andrew Dickson Whitehead’s </w:t>
      </w:r>
      <w:r>
        <w:rPr>
          <w:i/>
        </w:rPr>
        <w:t>A History of the Warfare of Science with Theology in Christendom</w:t>
      </w:r>
      <w:r>
        <w:t xml:space="preserve"> (New York: Macmillan, 1896), written within the conflict, to George Marsden’s </w:t>
      </w:r>
      <w:r>
        <w:rPr>
          <w:i/>
        </w:rPr>
        <w:t>The Soul of the American University</w:t>
      </w:r>
      <w:r>
        <w:t xml:space="preserve"> (New York: Oxford University Press, 1994).</w:t>
      </w:r>
      <w:r/>
    </w:p>
  </w:endnote>
  <w:endnote w:id="45">
    <w:p>
      <w:pPr>
        <w:ind w:left="0" w:firstLine="446"/>
        <w:widowControl/>
        <w:pStyle w:val="EndnoteText"/>
        <w:tabs>
          <w:tab w:val="left" w:pos="648" w:leader="none"/>
        </w:tabs>
      </w:pPr>
      <w:r>
        <w:rPr>
          <w:rStyle w:val="EndnoteReference"/>
        </w:rPr>
        <w:endnoteRef/>
      </w:r>
      <w:r>
        <w:t xml:space="preserve"> Campbell recounts an effort begun in 1911 by the APA Committee on Definitions to create a uniformity of vocabulary for the papers and discussions. Needless to say, this got nowhere and such niceness disappeared altogether with the outbreak of the Great War; see </w:t>
      </w:r>
      <w:r>
        <w:rPr>
          <w:i/>
        </w:rPr>
        <w:t>A Thoughtful Profession</w:t>
      </w:r>
      <w:r>
        <w:t>, pp. 149–157.</w:t>
      </w:r>
      <w:r/>
    </w:p>
  </w:endnote>
  <w:endnote w:id="46">
    <w:p>
      <w:pPr>
        <w:ind w:left="0" w:firstLine="446"/>
        <w:widowControl/>
        <w:pStyle w:val="EndnoteText"/>
        <w:tabs>
          <w:tab w:val="left" w:pos="648" w:leader="none"/>
        </w:tabs>
      </w:pPr>
      <w:r>
        <w:rPr>
          <w:rStyle w:val="EndnoteReference"/>
        </w:rPr>
        <w:endnoteRef/>
      </w:r>
      <w:r>
        <w:t xml:space="preserve"> An excellent summary of Tufts’s character and achievements is available in the Introduction written by James Campbell to </w:t>
      </w:r>
      <w:r>
        <w:rPr>
          <w:i/>
        </w:rPr>
        <w:t>Selected Writings of James Hayden Tufts</w:t>
      </w:r>
      <w:r>
        <w:t xml:space="preserve">, ed. James Campbell (Carbondale: Southern Illinois University Press, 1992), ix-lvi, and a sense of his personal perspective can be gotten from his autobiographical essay “What I Believe,” reprinted as chapter one of that collection (pp. 1–18); his view of the place of philosophy among the other graduate studies (published in 1898) is the second chapter. </w:t>
      </w:r>
      <w:r/>
    </w:p>
  </w:endnote>
  <w:endnote w:id="47">
    <w:p>
      <w:pPr>
        <w:ind w:left="0" w:firstLine="446"/>
        <w:widowControl/>
        <w:pStyle w:val="EndnoteText"/>
        <w:tabs>
          <w:tab w:val="left" w:pos="648" w:leader="none"/>
        </w:tabs>
      </w:pPr>
      <w:r>
        <w:rPr>
          <w:rStyle w:val="EndnoteReference"/>
        </w:rPr>
        <w:endnoteRef/>
      </w:r>
      <w:r>
        <w:t xml:space="preserve"> The S.A.T.C. was a program proposed by the War Department under Wilson that many today would find deeply alarming. “Colleges that participated in the S.A.T.C. program became full-time military posts under the control of officers of the United States Army. In fact, the objective of the S.A.T.C., as stated by the Students’ Army Training Corps Regulations, was to, ‘utilize effectively the plant, equipment, and organization of the colleges for selecting and training officer candidates and technical experts for service in the existing emergency.’ The federal government thus took over colleges that participated in the program, often times placing Army officers above their administrative counterparts.” The S.A.T.C. transformed and militarized the culture of the colleges that participated. It is hard to know whether Tufts took the position to slow the spread of such militarization (as seems likely) or from a sense of service to the nation—or both. What is certain is that he was no narrow nationalist. See the article about the S.A.T.C. as the forerunner of R.O.T.C: </w:t>
        <w:fldChar w:fldCharType="begin"/>
        <w:instrText xml:space="preserve"> HYPERLINK "http://www.dartmouth.edu/~rotc/satc.html" </w:instrText>
        <w:fldChar w:fldCharType="separate"/>
      </w:r>
      <w:r>
        <w:rPr>
          <w:color w:val="0000FF"/>
          <w:u w:val="single"/>
        </w:rPr>
        <w:t>http://www.dartmouth.edu/~rotc/satc.html</w:t>
        <w:fldChar w:fldCharType="end"/>
      </w:r>
      <w:r>
        <w:t xml:space="preserve"> (accessed 1/26/2015). William Ernest Hocking took a leave from Harvard and did similar work in the Northeast, with the aim of teaching officers to be ethical in warfare. One could barely hope for wiser teachers of future officers.</w:t>
      </w:r>
      <w:r/>
    </w:p>
  </w:endnote>
  <w:endnote w:id="48">
    <w:p>
      <w:pPr>
        <w:ind w:left="0" w:firstLine="446"/>
        <w:widowControl/>
        <w:pStyle w:val="EndnoteText"/>
        <w:tabs>
          <w:tab w:val="left" w:pos="648" w:leader="none"/>
        </w:tabs>
      </w:pPr>
      <w:r>
        <w:rPr>
          <w:rStyle w:val="EndnoteReference"/>
        </w:rPr>
        <w:endnoteRef/>
      </w:r>
      <w:r>
        <w:t xml:space="preserve"> Otto von Bismark, vol. 2 of </w:t>
      </w:r>
      <w:r>
        <w:rPr>
          <w:i/>
          <w:spacing w:val="-2"/>
        </w:rPr>
        <w:t>The Man and the Statesman</w:t>
      </w:r>
      <w:r>
        <w:rPr>
          <w:i/>
        </w:rPr>
        <w:t>: Being the Reflections and Reminiscences of Otto, Prince von Bismarck</w:t>
      </w:r>
      <w:r>
        <w:rPr>
          <w:spacing w:val="-2"/>
        </w:rPr>
        <w:t>, trans. Arthur John Butler (London: Harper and Bros., 1898), p. 101.</w:t>
      </w:r>
      <w:r/>
    </w:p>
  </w:endnote>
  <w:endnote w:id="49">
    <w:p>
      <w:pPr>
        <w:ind w:left="0" w:firstLine="446"/>
        <w:widowControl/>
        <w:pStyle w:val="EndnoteText"/>
        <w:tabs>
          <w:tab w:val="left" w:pos="648" w:leader="none"/>
        </w:tabs>
      </w:pPr>
      <w:r>
        <w:rPr>
          <w:rStyle w:val="EndnoteReference"/>
        </w:rPr>
        <w:endnoteRef/>
      </w:r>
      <w:r>
        <w:t xml:space="preserve"> The Ems Telegram was ostensibly a telegram from the Prussian Kaiser, Wilhelm I, to his Prime Minister Otto von Bismarck which, when published (and as anticipated by Bismarck) precipitated the Franco-Prussian War of 1870–1871.</w:t>
      </w:r>
      <w:r/>
    </w:p>
  </w:endnote>
  <w:endnote w:id="50">
    <w:p>
      <w:pPr>
        <w:ind w:left="0" w:firstLine="446"/>
        <w:widowControl/>
        <w:pStyle w:val="EndnoteText"/>
        <w:tabs>
          <w:tab w:val="left" w:pos="648" w:leader="none"/>
        </w:tabs>
      </w:pPr>
      <w:r>
        <w:rPr>
          <w:rStyle w:val="EndnoteReference"/>
        </w:rPr>
        <w:endnoteRef/>
      </w:r>
      <w:r>
        <w:t xml:space="preserve"> Bismarck, </w:t>
      </w:r>
      <w:r>
        <w:rPr>
          <w:i/>
        </w:rPr>
        <w:t>The Man and the Statesman</w:t>
      </w:r>
      <w:r>
        <w:t>, vol. 2, p. 101.</w:t>
      </w:r>
      <w:r/>
    </w:p>
  </w:endnote>
  <w:endnote w:id="51">
    <w:p>
      <w:pPr>
        <w:ind w:left="0" w:firstLine="446"/>
        <w:widowControl/>
        <w:pStyle w:val="EndnoteText"/>
        <w:tabs>
          <w:tab w:val="left" w:pos="648" w:leader="none"/>
        </w:tabs>
      </w:pPr>
      <w:r>
        <w:rPr>
          <w:rStyle w:val="EndnoteReference"/>
        </w:rPr>
        <w:endnoteRef/>
      </w:r>
      <w:r>
        <w:t xml:space="preserve"> See Dewey and Tufts, </w:t>
      </w:r>
      <w:r>
        <w:rPr>
          <w:i/>
        </w:rPr>
        <w:t>Ethics</w:t>
      </w:r>
      <w:r>
        <w:t xml:space="preserve"> (New York: Henry Holt and Company, 1908), pp. 147–163, 171–198. Reading the 1908 edition as opposed to the 1932 revision of the book is needed in order to see the lines of continuity between this earlier work and Tufts’s presidential address. By 1932 the Great War had already had its effect and the general failure of its resolution was becoming evident to all.</w:t>
      </w:r>
      <w:r/>
    </w:p>
  </w:endnote>
  <w:endnote w:id="52">
    <w:p>
      <w:pPr>
        <w:ind w:left="0" w:firstLine="446"/>
        <w:widowControl/>
        <w:pStyle w:val="EndnoteText"/>
        <w:tabs>
          <w:tab w:val="left" w:pos="648" w:leader="none"/>
        </w:tabs>
      </w:pPr>
      <w:r>
        <w:rPr>
          <w:rStyle w:val="EndnoteReference"/>
        </w:rPr>
        <w:endnoteRef/>
      </w:r>
      <w:r>
        <w:t xml:space="preserve"> Tufts refers to the work, well-known at that time, by Gustav R</w:t>
      </w:r>
      <w:r>
        <w:rPr>
          <w:color w:val="000000"/>
        </w:rPr>
        <w:t xml:space="preserve">ümelin entitled </w:t>
      </w:r>
      <w:r>
        <w:rPr>
          <w:i/>
          <w:color w:val="000000"/>
        </w:rPr>
        <w:t>Politics and the Moral Law</w:t>
      </w:r>
      <w:r>
        <w:rPr>
          <w:color w:val="000000"/>
        </w:rPr>
        <w:t xml:space="preserve"> (New York: Macmillan, 1901).</w:t>
      </w:r>
      <w:r/>
    </w:p>
  </w:endnote>
  <w:endnote w:id="53">
    <w:p>
      <w:pPr>
        <w:ind w:left="0" w:firstLine="446"/>
        <w:widowControl/>
        <w:pStyle w:val="EndnoteText"/>
        <w:tabs>
          <w:tab w:val="left" w:pos="648" w:leader="none"/>
        </w:tabs>
      </w:pPr>
      <w:r>
        <w:rPr>
          <w:rStyle w:val="EndnoteReference"/>
        </w:rPr>
        <w:endnoteRef/>
      </w:r>
      <w:r>
        <w:t xml:space="preserve"> This passage is extracted from a lecture, “Leaders of Men: An Address,” that Wilson gave at the University of Tennessee, in Knoxville, 17 June 1890. See </w:t>
      </w:r>
      <w:r>
        <w:rPr>
          <w:i/>
        </w:rPr>
        <w:t>The Politics of Woodrow Wilson</w:t>
      </w:r>
      <w:r>
        <w:t>, ed. August Heckscher (New York: Harper and Brothers, 1956), p. 70. It is also important to remember that Wilson exhorted people to overcome their narrowness almost constantly; see, for example, ibid., pp. 61–63.</w:t>
      </w:r>
      <w:r/>
    </w:p>
  </w:endnote>
  <w:endnote w:id="54">
    <w:p>
      <w:pPr>
        <w:ind w:left="0" w:firstLine="446"/>
        <w:widowControl/>
        <w:pStyle w:val="EndnoteText"/>
        <w:tabs>
          <w:tab w:val="left" w:pos="648" w:leader="none"/>
        </w:tabs>
      </w:pPr>
      <w:r>
        <w:rPr>
          <w:rStyle w:val="EndnoteReference"/>
        </w:rPr>
        <w:endnoteRef/>
      </w:r>
      <w:r>
        <w:t xml:space="preserve"> See William James, On a Certain Blindness in Human Beings, in </w:t>
      </w:r>
      <w:r>
        <w:rPr>
          <w:i/>
        </w:rPr>
        <w:t>Talks to Teachers on Psychology and to Students on Some of Life’s Ideals</w:t>
      </w:r>
      <w:r>
        <w:t xml:space="preserve"> (New York: Henry Holt and Company, 1899), pp. 229–264.</w:t>
      </w:r>
      <w:r/>
    </w:p>
  </w:endnote>
  <w:endnote w:id="55">
    <w:p>
      <w:pPr>
        <w:ind w:left="0" w:firstLine="446"/>
        <w:widowControl/>
        <w:pStyle w:val="EndnoteText"/>
        <w:tabs>
          <w:tab w:val="left" w:pos="648" w:leader="none"/>
        </w:tabs>
      </w:pPr>
      <w:r>
        <w:rPr>
          <w:rStyle w:val="EndnoteReference"/>
        </w:rPr>
        <w:endnoteRef/>
      </w:r>
      <w:r>
        <w:t xml:space="preserve"> Heckscher, </w:t>
      </w:r>
      <w:r>
        <w:rPr>
          <w:i/>
        </w:rPr>
        <w:t>The Politics of Woodrow Wilson</w:t>
      </w:r>
      <w:r>
        <w:t>, p. 253.</w:t>
      </w:r>
      <w:r/>
    </w:p>
  </w:endnote>
  <w:endnote w:id="56">
    <w:p>
      <w:pPr>
        <w:ind w:left="0" w:firstLine="446"/>
        <w:widowControl/>
        <w:pStyle w:val="EndnoteText"/>
        <w:tabs>
          <w:tab w:val="left" w:pos="648" w:leader="none"/>
        </w:tabs>
      </w:pPr>
      <w:r>
        <w:rPr>
          <w:rStyle w:val="EndnoteReference"/>
        </w:rPr>
        <w:endnoteRef/>
      </w:r>
      <w:r>
        <w:t xml:space="preserve"> Josiah Royce, </w:t>
      </w:r>
      <w:r>
        <w:rPr>
          <w:i/>
        </w:rPr>
        <w:t>The Hope of the Great Community</w:t>
      </w:r>
      <w:r>
        <w:t xml:space="preserve"> (New York: Macmillan, 1916); reprinted (Freeport, NY: Books for Libraries Press, 1967).</w:t>
      </w:r>
      <w:r/>
    </w:p>
  </w:endnote>
  <w:endnote w:id="57">
    <w:p>
      <w:pPr>
        <w:ind w:left="0" w:firstLine="446"/>
        <w:widowControl/>
        <w:pStyle w:val="EndnoteText"/>
        <w:tabs>
          <w:tab w:val="left" w:pos="648" w:leader="none"/>
        </w:tabs>
      </w:pPr>
      <w:r>
        <w:rPr>
          <w:rStyle w:val="EndnoteReference"/>
        </w:rPr>
        <w:endnoteRef/>
      </w:r>
      <w:r>
        <w:t xml:space="preserve"> In his speech to the Republican Convention of 1920, Harding said, “</w:t>
      </w:r>
      <w:r>
        <w:rPr>
          <w:rFonts w:ascii="Georgia" w:hAnsi="Georgia" w:eastAsia="Georgia"/>
          <w:sz w:val="17"/>
          <w:color w:val="000000"/>
        </w:rPr>
        <w:t>America’s present need is not heroics, but healing; not nostrums, but normalcy; not revolution, but restoration; not agitation, but adjustment; not surgery, but serenity</w:t>
      </w:r>
      <w:r>
        <w:t xml:space="preserve">”; see Michael A. Cohen’s </w:t>
      </w:r>
      <w:r>
        <w:rPr>
          <w:i/>
        </w:rPr>
        <w:t>Live from the Campaign Trail: The Greatest Presidential Campaign Speeches of the Twentieth Century and How They Shaped Modern America</w:t>
      </w:r>
      <w:r>
        <w:t xml:space="preserve"> (New York: Walker &amp; Co., distributed by Macmillan, 2008); available online at </w:t>
        <w:fldChar w:fldCharType="begin"/>
        <w:instrText xml:space="preserve"> HYPERLINK "http://www.livefromthetrail.com/about-the-book/speeches/chapter-3/senator-warren-g-harding" </w:instrText>
        <w:fldChar w:fldCharType="separate"/>
      </w:r>
      <w:r>
        <w:rPr>
          <w:color w:val="0000FF"/>
          <w:u w:val="single"/>
        </w:rPr>
        <w:t>http://www.livefromthetrail.com/about-the-book/speeches/chapter-3/senator-warren-g-harding</w:t>
        <w:fldChar w:fldCharType="end"/>
      </w:r>
      <w:r>
        <w:t xml:space="preserve"> (accessed 15 March 2015).</w:t>
      </w:r>
      <w:r/>
    </w:p>
  </w:endnote>
  <w:endnote w:id="58">
    <w:p>
      <w:pPr>
        <w:ind w:left="0" w:firstLine="446"/>
        <w:widowControl/>
        <w:pStyle w:val="EndnoteText"/>
        <w:tabs>
          <w:tab w:val="left" w:pos="648" w:leader="none"/>
        </w:tabs>
      </w:pPr>
      <w:r>
        <w:rPr>
          <w:rStyle w:val="EndnoteReference"/>
        </w:rPr>
        <w:endnoteRef/>
      </w:r>
      <w:r>
        <w:t xml:space="preserve"> John Dewey, </w:t>
      </w:r>
      <w:r>
        <w:rPr>
          <w:i/>
        </w:rPr>
        <w:t>Reconstruction in Philosophy</w:t>
      </w:r>
      <w:r>
        <w:t xml:space="preserve"> (Boston: Beacon Press, 1957/1948).</w:t>
      </w:r>
      <w:r/>
    </w:p>
  </w:endnote>
  <w:endnote w:id="59">
    <w:p>
      <w:pPr>
        <w:ind w:left="0" w:firstLine="446"/>
        <w:widowControl/>
        <w:pStyle w:val="EndnoteText"/>
        <w:tabs>
          <w:tab w:val="left" w:pos="648" w:leader="none"/>
        </w:tabs>
      </w:pPr>
      <w:r>
        <w:rPr>
          <w:rStyle w:val="EndnoteReference"/>
        </w:rPr>
        <w:endnoteRef/>
      </w:r>
      <w:r>
        <w:t xml:space="preserve"> W</w:t>
      </w:r>
      <w:r>
        <w:rPr>
          <w:spacing w:val="-1"/>
        </w:rPr>
        <w:t xml:space="preserve">. Ostwald, </w:t>
      </w:r>
      <w:r>
        <w:rPr>
          <w:i/>
          <w:spacing w:val="-1"/>
        </w:rPr>
        <w:t>Der Energetische Imperativ</w:t>
      </w:r>
      <w:r>
        <w:rPr>
          <w:spacing w:val="-1"/>
        </w:rPr>
        <w:t xml:space="preserve"> [The energy imperative] (Leipzig, Germany: Akademische verlagsgesellschaft m.b.h., 1912), p. 7.</w:t>
      </w:r>
      <w:r/>
    </w:p>
  </w:endnote>
  <w:endnote w:id="60">
    <w:p>
      <w:pPr>
        <w:ind w:left="0" w:firstLine="446"/>
        <w:widowControl/>
        <w:pStyle w:val="EndnoteText"/>
        <w:tabs>
          <w:tab w:val="left" w:pos="648" w:leader="none"/>
        </w:tabs>
      </w:pPr>
      <w:r>
        <w:rPr>
          <w:rStyle w:val="EndnoteReference"/>
        </w:rPr>
        <w:endnoteRef/>
      </w:r>
      <w:r>
        <w:t xml:space="preserve"> Von Suttner was one of the most influential peace activists of her generation, an Austrian Baroness, and the author of the widely influential novel </w:t>
      </w:r>
      <w:r>
        <w:rPr>
          <w:i/>
        </w:rPr>
        <w:t>Lay Down Your Arms</w:t>
      </w:r>
      <w:r>
        <w:t xml:space="preserve"> (London: </w:t>
      </w:r>
      <w:r>
        <w:rPr>
          <w:color w:val="000000"/>
        </w:rPr>
        <w:t>Longmans, Green, 1892</w:t>
      </w:r>
      <w:r>
        <w:t>). Ironically, she died on cancer two months before the outbreak of the Great War.</w:t>
      </w:r>
      <w:r/>
    </w:p>
  </w:endnote>
  <w:endnote w:id="61">
    <w:p>
      <w:pPr>
        <w:ind w:left="0" w:firstLine="446"/>
        <w:widowControl/>
        <w:pStyle w:val="EndnoteText"/>
        <w:tabs>
          <w:tab w:val="left" w:pos="648" w:leader="none"/>
        </w:tabs>
      </w:pPr>
      <w:r>
        <w:rPr>
          <w:rStyle w:val="EndnoteReference"/>
        </w:rPr>
        <w:endnoteRef/>
      </w:r>
      <w:r>
        <w:t xml:space="preserve"> From a letter from E. S. Brightman to Charles Hartshorne (1948–1949) in December 1933, in speaking of the passing of Durant Drake. See </w:t>
      </w:r>
      <w:r>
        <w:rPr>
          <w:i/>
        </w:rPr>
        <w:t>Hartshorne and Brightman on God, Process, and Persons: The Correspondence, 1922–1945</w:t>
      </w:r>
      <w:r>
        <w:t xml:space="preserve">, eds. R. E. Auxier and M. Y. A. Davies (Nashville, TN: Vanderbilt University Press, 2000), pp. 12–13. </w:t>
      </w:r>
      <w:r/>
    </w:p>
  </w:endnote>
  <w:endnote w:id="62">
    <w:p>
      <w:pPr>
        <w:ind w:left="0" w:firstLine="446"/>
        <w:widowControl/>
        <w:pStyle w:val="EndnoteText"/>
        <w:tabs>
          <w:tab w:val="left" w:pos="648" w:leader="none"/>
        </w:tabs>
      </w:pPr>
      <w:r>
        <w:rPr>
          <w:rStyle w:val="EndnoteReference"/>
        </w:rPr>
        <w:endnoteRef/>
      </w:r>
      <w:r>
        <w:t xml:space="preserve"> J. Royce, </w:t>
      </w:r>
      <w:r>
        <w:rPr>
          <w:i/>
        </w:rPr>
        <w:t>War and Insurance: An Address Delivered before the Philosophical Union of the University of California at its Twenty-Fifth Anniversary at Berkeley, California, August 27, 1914</w:t>
      </w:r>
      <w:r>
        <w:t xml:space="preserve"> (New York, Macmillan, 1914).</w:t>
      </w:r>
      <w:r/>
    </w:p>
  </w:endnote>
  <w:endnote w:id="63">
    <w:p>
      <w:pPr>
        <w:ind w:left="0" w:firstLine="0"/>
        <w:spacing w:before="100" w:beforeAutospacing="0" w:after="100" w:afterAutospacing="0"/>
        <w:jc w:val="left"/>
        <w:widowControl/>
        <w:pStyle w:val="EndnoteText"/>
        <w:tabs>
          <w:tab w:val="left" w:pos="648" w:leader="none"/>
        </w:tabs>
        <w:rPr>
          <w:b/>
          <w:noProof w:val="1"/>
        </w:rPr>
      </w:pPr>
      <w:r>
        <w:rPr>
          <w:b/>
          <w:noProof w:val="1"/>
        </w:rPr>
        <w:t>Brodrick: Philosophical Legacies of the 1920s</w:t>
      </w:r>
    </w:p>
    <w:p>
      <w:pPr>
        <w:ind w:left="0" w:firstLine="446"/>
        <w:spacing w:line="220" w:lineRule="exact"/>
        <w:widowControl/>
        <w:pStyle w:val="EndnoteText"/>
        <w:tabs>
          <w:tab w:val="left" w:pos="648" w:leader="none"/>
        </w:tabs>
        <w:rPr>
          <w:b/>
          <w:noProof w:val="1"/>
        </w:rPr>
      </w:pPr>
      <w:r>
        <w:rPr>
          <w:rStyle w:val="EndnoteReference"/>
          <w:noProof w:val="1"/>
        </w:rPr>
        <w:endnoteRef/>
      </w:r>
      <w:r>
        <w:rPr>
          <w:noProof w:val="1"/>
        </w:rPr>
        <w:t xml:space="preserve"> James Campbell, </w:t>
      </w:r>
      <w:r>
        <w:rPr>
          <w:i/>
          <w:noProof w:val="1"/>
        </w:rPr>
        <w:t>A Thoughtful Profession</w:t>
      </w:r>
      <w:r>
        <w:rPr>
          <w:noProof w:val="1"/>
        </w:rPr>
        <w:t xml:space="preserve"> (Chicago: Open Court, 2006), p. 12.</w:t>
      </w:r>
      <w:r>
        <w:rPr>
          <w:b/>
          <w:noProof w:val="1"/>
        </w:rPr>
      </w:r>
    </w:p>
  </w:endnote>
  <w:endnote w:id="64">
    <w:p>
      <w:pPr>
        <w:ind w:left="0" w:firstLine="446"/>
        <w:spacing w:line="220" w:lineRule="exact"/>
        <w:widowControl/>
        <w:pStyle w:val="EndnoteText"/>
        <w:tabs>
          <w:tab w:val="left" w:pos="648" w:leader="none"/>
        </w:tabs>
      </w:pPr>
      <w:r>
        <w:rPr>
          <w:rStyle w:val="EndnoteReference"/>
        </w:rPr>
        <w:endnoteRef/>
      </w:r>
      <w:r>
        <w:t xml:space="preserve"> Ibid., p. 8.</w:t>
      </w:r>
      <w:r/>
    </w:p>
  </w:endnote>
  <w:endnote w:id="65">
    <w:p>
      <w:pPr>
        <w:ind w:left="446" w:firstLine="0"/>
        <w:spacing w:line="220" w:lineRule="exact"/>
        <w:widowControl/>
        <w:pStyle w:val="EndnoteText"/>
        <w:tabs>
          <w:tab w:val="left" w:pos="648" w:leader="none"/>
        </w:tabs>
      </w:pPr>
      <w:r>
        <w:rPr>
          <w:rStyle w:val="EndnoteReference"/>
        </w:rPr>
        <w:endnoteRef/>
      </w:r>
      <w:r>
        <w:t xml:space="preserve"> Ibid., pp. 35–37.</w:t>
      </w:r>
      <w:r/>
    </w:p>
  </w:endnote>
  <w:endnote w:id="66">
    <w:p>
      <w:pPr>
        <w:ind w:left="0" w:firstLine="446"/>
        <w:spacing w:line="220" w:lineRule="exact"/>
        <w:widowControl/>
        <w:pStyle w:val="EndnoteText"/>
        <w:tabs>
          <w:tab w:val="left" w:pos="648" w:leader="none"/>
        </w:tabs>
      </w:pPr>
      <w:r>
        <w:rPr>
          <w:rStyle w:val="EndnoteReference"/>
        </w:rPr>
        <w:endnoteRef/>
      </w:r>
      <w:r>
        <w:t xml:space="preserve"> Ibid., pp. 165–180.</w:t>
      </w:r>
      <w:r/>
    </w:p>
  </w:endnote>
  <w:endnote w:id="67">
    <w:p>
      <w:pPr>
        <w:ind w:left="0" w:firstLine="446"/>
        <w:spacing w:line="220" w:lineRule="exact"/>
        <w:widowControl/>
        <w:pStyle w:val="EndnoteText"/>
        <w:tabs>
          <w:tab w:val="left" w:pos="648" w:leader="none"/>
        </w:tabs>
      </w:pPr>
      <w:r>
        <w:rPr>
          <w:rStyle w:val="EndnoteReference"/>
        </w:rPr>
        <w:endnoteRef/>
      </w:r>
      <w:r>
        <w:t xml:space="preserve"> Published as </w:t>
      </w:r>
      <w:r>
        <w:rPr>
          <w:i/>
        </w:rPr>
        <w:t>The World and the Individual; Gifford Lectures Delivered before the University of Aberdeen</w:t>
      </w:r>
      <w:r>
        <w:t xml:space="preserve">. 1st Series: The Four Historical Conceptions of Being (New York: MacMillan, 1899); and </w:t>
      </w:r>
      <w:r>
        <w:rPr>
          <w:i/>
        </w:rPr>
        <w:t>The World and the Individual; Gifford Lectures Delivered before the University of Aberdeen</w:t>
      </w:r>
      <w:r>
        <w:t>. 2nd Series: Nature, Man, and the Moral Order (New York: MacMillan, 1901).</w:t>
      </w:r>
    </w:p>
    <w:p>
      <w:pPr>
        <w:ind w:left="0" w:firstLine="0"/>
        <w:spacing w:before="100" w:beforeAutospacing="0" w:after="100" w:afterAutospacing="0"/>
        <w:widowControl/>
        <w:pStyle w:val="EndnoteText"/>
        <w:tabs>
          <w:tab w:val="left" w:pos="648" w:leader="none"/>
        </w:tabs>
      </w:pPr>
      <w:r>
        <w:rPr>
          <w:b/>
        </w:rPr>
        <w:t>Henning: Philosophy in the Age of Fascism</w:t>
      </w:r>
      <w:r/>
    </w:p>
  </w:endnote>
  <w:endnote w:id="68">
    <w:p>
      <w:pPr>
        <w:ind w:left="0" w:firstLine="446"/>
        <w:widowControl/>
        <w:pStyle w:val="EndnoteText"/>
        <w:tabs>
          <w:tab w:val="left" w:pos="648" w:leader="none"/>
        </w:tabs>
        <w:rPr>
          <w:noProof w:val="1"/>
        </w:rPr>
      </w:pPr>
      <w:r>
        <w:rPr>
          <w:rStyle w:val="EndnoteReference"/>
          <w:noProof w:val="1"/>
        </w:rPr>
        <w:endnoteRef/>
      </w:r>
      <w:r>
        <w:rPr>
          <w:noProof w:val="1"/>
        </w:rPr>
        <w:t xml:space="preserve"> Brian G. Henning and David Kovacs, eds. </w:t>
      </w:r>
      <w:r>
        <w:rPr>
          <w:i/>
          <w:noProof w:val="1"/>
        </w:rPr>
        <w:t>Being in America: Sixty Years of the Metaphysical Society</w:t>
      </w:r>
      <w:r>
        <w:rPr>
          <w:noProof w:val="1"/>
        </w:rPr>
        <w:t xml:space="preserve"> (Amsterdam: Rodopi, 2014).</w:t>
      </w:r>
      <w:r>
        <w:rPr>
          <w:noProof w:val="1"/>
        </w:rPr>
      </w:r>
    </w:p>
  </w:endnote>
  <w:endnote w:id="69">
    <w:p>
      <w:pPr>
        <w:ind w:left="0" w:firstLine="446"/>
        <w:widowControl/>
        <w:pStyle w:val="EndnoteText"/>
        <w:tabs>
          <w:tab w:val="left" w:pos="648" w:leader="none"/>
        </w:tabs>
      </w:pPr>
      <w:r>
        <w:rPr>
          <w:rStyle w:val="EndnoteReference"/>
        </w:rPr>
        <w:endnoteRef/>
      </w:r>
      <w:r>
        <w:t xml:space="preserve"> W. Heisenberg, “Uber den anschaulichen Inhalt der quantentheoretischen Kinematik und Mechanik” [On the ideological content of the quantum theoretical kinematics and mechanics], </w:t>
      </w:r>
      <w:r>
        <w:rPr>
          <w:i/>
        </w:rPr>
        <w:t>Zeitschrift für Physik</w:t>
      </w:r>
      <w:r>
        <w:t xml:space="preserve"> 43, no. 3–4 (1927): 172–198.</w:t>
      </w:r>
      <w:r/>
    </w:p>
  </w:endnote>
  <w:endnote w:id="70">
    <w:p>
      <w:pPr>
        <w:ind w:left="0" w:firstLine="446"/>
        <w:widowControl/>
        <w:pStyle w:val="EndnoteText"/>
        <w:tabs>
          <w:tab w:val="left" w:pos="648" w:leader="none"/>
        </w:tabs>
      </w:pPr>
      <w:r>
        <w:rPr>
          <w:rStyle w:val="EndnoteReference"/>
        </w:rPr>
        <w:endnoteRef/>
      </w:r>
      <w:r>
        <w:t xml:space="preserve"> Loewenberg, “Problematic Realism,” in vol. 2 of </w:t>
      </w:r>
      <w:r>
        <w:rPr>
          <w:i/>
        </w:rPr>
        <w:t>Contemporary American Philosophy: Personal Statements</w:t>
      </w:r>
      <w:r>
        <w:t>, eds. George P. Adams and William Pepperell Montague (New York: Russell &amp; Russell, Inc.), pp. 53–81.</w:t>
      </w:r>
      <w:r/>
    </w:p>
  </w:endnote>
  <w:endnote w:id="71">
    <w:p>
      <w:pPr>
        <w:ind w:left="0" w:firstLine="446"/>
        <w:widowControl/>
        <w:pStyle w:val="EndnoteText"/>
        <w:tabs>
          <w:tab w:val="left" w:pos="648" w:leader="none"/>
        </w:tabs>
      </w:pPr>
      <w:r>
        <w:rPr>
          <w:rStyle w:val="EndnoteReference"/>
        </w:rPr>
        <w:endnoteRef/>
      </w:r>
      <w:r>
        <w:t xml:space="preserve"> James Bissett Pratt, Critical Realism and the Possibility of Knowledge, in </w:t>
      </w:r>
      <w:r>
        <w:rPr>
          <w:i/>
        </w:rPr>
        <w:t>Essays in Critical Realism: A Co-operative Study of the Problem of Knowledge</w:t>
      </w:r>
      <w:r>
        <w:t>, ed. Drake Durant (London: MacMillan and Co., 1920)</w:t>
      </w:r>
      <w:r/>
    </w:p>
  </w:endnote>
  <w:endnote w:id="72">
    <w:p>
      <w:pPr>
        <w:ind w:left="0" w:firstLine="446"/>
        <w:widowControl/>
        <w:pStyle w:val="EndnoteText"/>
        <w:tabs>
          <w:tab w:val="left" w:pos="648" w:leader="none"/>
        </w:tabs>
      </w:pPr>
      <w:r>
        <w:rPr>
          <w:rStyle w:val="EndnoteReference"/>
        </w:rPr>
        <w:endnoteRef/>
      </w:r>
      <w:r>
        <w:t xml:space="preserve"> See Charles William Morris, </w:t>
      </w:r>
      <w:r>
        <w:rPr>
          <w:i/>
        </w:rPr>
        <w:t>Logical Positivism, Pragmatism, and Scientific Empiricism</w:t>
      </w:r>
      <w:r>
        <w:t xml:space="preserve"> (Paris: Hermann et cie, 1937).</w:t>
      </w:r>
      <w:r/>
    </w:p>
  </w:endnote>
  <w:endnote w:id="73">
    <w:p>
      <w:pPr>
        <w:ind w:left="0" w:firstLine="446"/>
        <w:widowControl/>
        <w:pStyle w:val="EndnoteText"/>
        <w:tabs>
          <w:tab w:val="left" w:pos="648" w:leader="none"/>
        </w:tabs>
      </w:pPr>
      <w:r>
        <w:rPr>
          <w:rStyle w:val="EndnoteReference"/>
        </w:rPr>
        <w:endnoteRef/>
      </w:r>
      <w:r>
        <w:t xml:space="preserve"> Although philosophy of religion was a vibrant area of study in the opening decades of the twenty-first century, according to a recent survey of philosophers, 72.8 percent indicated that they accepted or leaned toward atheism.</w:t>
      </w:r>
      <w:r>
        <w:rPr>
          <w:vertAlign w:val="superscript"/>
        </w:rPr>
        <w:t xml:space="preserve"> </w:t>
      </w:r>
      <w:r>
        <w:t>PhilPapers Philosophical Research Online. The PhilPapers Survey, http://philpapers.org/surveys/results.pl (accessed 2/28/2015).</w:t>
      </w:r>
      <w:r/>
    </w:p>
  </w:endnote>
  <w:endnote w:id="74">
    <w:p>
      <w:pPr>
        <w:ind w:left="0" w:firstLine="446"/>
        <w:widowControl/>
        <w:pStyle w:val="EndnoteText"/>
        <w:tabs>
          <w:tab w:val="left" w:pos="648" w:leader="none"/>
        </w:tabs>
      </w:pPr>
      <w:r>
        <w:rPr>
          <w:rStyle w:val="EndnoteReference"/>
        </w:rPr>
        <w:endnoteRef/>
      </w:r>
      <w:r>
        <w:t xml:space="preserve"> Alfred North Whitehead, </w:t>
      </w:r>
      <w:r>
        <w:rPr>
          <w:i/>
        </w:rPr>
        <w:t>Science and the Modern World. Lowell Lectures, 192</w:t>
      </w:r>
      <w:r>
        <w:t>5 (New York: Macmillan, 1925).</w:t>
      </w:r>
      <w:r/>
    </w:p>
  </w:endnote>
  <w:endnote w:id="75">
    <w:p>
      <w:pPr>
        <w:ind w:left="0" w:firstLine="446"/>
        <w:widowControl/>
        <w:pStyle w:val="EndnoteText"/>
        <w:tabs>
          <w:tab w:val="left" w:pos="648" w:leader="none"/>
        </w:tabs>
      </w:pPr>
      <w:r>
        <w:rPr>
          <w:rStyle w:val="EndnoteReference"/>
        </w:rPr>
        <w:endnoteRef/>
      </w:r>
      <w:r>
        <w:t xml:space="preserve"> Alfred North Whitehead, </w:t>
      </w:r>
      <w:r>
        <w:rPr>
          <w:i/>
        </w:rPr>
        <w:t>Process and Reality</w:t>
      </w:r>
      <w:r>
        <w:t>,</w:t>
      </w:r>
      <w:r>
        <w:rPr>
          <w:i/>
        </w:rPr>
        <w:t xml:space="preserve"> </w:t>
      </w:r>
      <w:r>
        <w:t xml:space="preserve">corrected ed. (New York: Free Press, 1979/1929). </w:t>
      </w:r>
      <w:r/>
    </w:p>
  </w:endnote>
  <w:endnote w:id="76">
    <w:p>
      <w:pPr>
        <w:ind w:left="0" w:firstLine="446"/>
        <w:widowControl/>
        <w:pStyle w:val="EndnoteText"/>
        <w:tabs>
          <w:tab w:val="left" w:pos="648" w:leader="none"/>
        </w:tabs>
      </w:pPr>
      <w:r>
        <w:rPr>
          <w:rStyle w:val="EndnoteReference"/>
        </w:rPr>
        <w:endnoteRef/>
      </w:r>
      <w:r>
        <w:rPr>
          <w:vertAlign w:val="superscript"/>
        </w:rPr>
        <w:t xml:space="preserve"> </w:t>
      </w:r>
      <w:r>
        <w:t>Ibid.,</w:t>
      </w:r>
      <w:r>
        <w:rPr>
          <w:i/>
        </w:rPr>
        <w:t xml:space="preserve"> </w:t>
      </w:r>
      <w:r>
        <w:t>p. viii.</w:t>
      </w:r>
      <w:r/>
    </w:p>
  </w:endnote>
  <w:endnote w:id="77">
    <w:p>
      <w:pPr>
        <w:ind w:left="0" w:firstLine="446"/>
        <w:widowControl/>
        <w:pStyle w:val="EndnoteText"/>
        <w:tabs>
          <w:tab w:val="left" w:pos="648" w:leader="none"/>
        </w:tabs>
      </w:pPr>
      <w:r>
        <w:rPr>
          <w:rStyle w:val="EndnoteReference"/>
        </w:rPr>
        <w:endnoteRef/>
      </w:r>
      <w:r>
        <w:t xml:space="preserve"> George R. Lucas Jr. </w:t>
      </w:r>
      <w:r>
        <w:rPr>
          <w:i/>
        </w:rPr>
        <w:t xml:space="preserve">The Rehabilitation of Whitehead </w:t>
      </w:r>
      <w:r>
        <w:t>(Albany: State University of New York Press), p. 37.</w:t>
      </w:r>
      <w:r/>
    </w:p>
  </w:endnote>
  <w:endnote w:id="78">
    <w:p>
      <w:pPr>
        <w:ind w:left="0" w:firstLine="446"/>
        <w:widowControl/>
        <w:pStyle w:val="EndnoteText"/>
        <w:tabs>
          <w:tab w:val="left" w:pos="648" w:leader="none"/>
        </w:tabs>
      </w:pPr>
      <w:r>
        <w:rPr>
          <w:rStyle w:val="EndnoteReference"/>
        </w:rPr>
        <w:endnoteRef/>
      </w:r>
      <w:r>
        <w:t xml:space="preserve"> Part of my commentary here will be published as “Following Lucretius’s Dart” in a volume to yet to be titled, edited by Sarah Demeuse and Manuela Moscoso (forthcoming, Archive Books, 2015).</w:t>
      </w:r>
      <w:r/>
    </w:p>
  </w:endnote>
  <w:endnote w:id="79">
    <w:p>
      <w:pPr>
        <w:ind w:left="0" w:firstLine="446"/>
        <w:widowControl/>
        <w:pStyle w:val="EndnoteText"/>
        <w:tabs>
          <w:tab w:val="left" w:pos="648" w:leader="none"/>
        </w:tabs>
      </w:pPr>
      <w:r>
        <w:rPr>
          <w:rStyle w:val="EndnoteReference"/>
        </w:rPr>
        <w:endnoteRef/>
      </w:r>
      <w:r>
        <w:t xml:space="preserve"> Alfred North Whitehead, </w:t>
      </w:r>
      <w:r>
        <w:rPr>
          <w:i/>
        </w:rPr>
        <w:t>The Function of Reason</w:t>
      </w:r>
      <w:r>
        <w:t xml:space="preserve"> (Princeton, NJ: Princeton University Press, 1929), p. 30.</w:t>
      </w:r>
      <w:r/>
    </w:p>
  </w:endnote>
  <w:endnote w:id="80">
    <w:p>
      <w:pPr>
        <w:ind w:left="0" w:firstLine="446"/>
        <w:widowControl/>
        <w:pStyle w:val="EndnoteText"/>
        <w:tabs>
          <w:tab w:val="left" w:pos="648" w:leader="none"/>
        </w:tabs>
      </w:pPr>
      <w:r>
        <w:rPr>
          <w:rStyle w:val="EndnoteReference"/>
        </w:rPr>
        <w:endnoteRef/>
      </w:r>
      <w:r>
        <w:rPr>
          <w:vertAlign w:val="superscript"/>
        </w:rPr>
        <w:t xml:space="preserve"> </w:t>
      </w:r>
      <w:r>
        <w:t xml:space="preserve">Whitehead, </w:t>
      </w:r>
      <w:r>
        <w:rPr>
          <w:i/>
        </w:rPr>
        <w:t>Process and Reality</w:t>
      </w:r>
      <w:r>
        <w:t>, p. 151.</w:t>
      </w:r>
      <w:r/>
    </w:p>
  </w:endnote>
  <w:endnote w:id="81">
    <w:p>
      <w:pPr>
        <w:ind w:left="0" w:firstLine="446"/>
        <w:widowControl/>
        <w:pStyle w:val="EndnoteText"/>
        <w:tabs>
          <w:tab w:val="left" w:pos="648" w:leader="none"/>
        </w:tabs>
      </w:pPr>
      <w:r>
        <w:rPr>
          <w:rStyle w:val="EndnoteReference"/>
        </w:rPr>
        <w:endnoteRef/>
      </w:r>
      <w:r>
        <w:rPr>
          <w:vertAlign w:val="superscript"/>
        </w:rPr>
        <w:t xml:space="preserve"> </w:t>
      </w:r>
      <w:r>
        <w:t>Ibid., p. 7.</w:t>
      </w:r>
      <w:r/>
    </w:p>
  </w:endnote>
  <w:endnote w:id="82">
    <w:p>
      <w:pPr>
        <w:ind w:left="0" w:firstLine="446"/>
        <w:widowControl/>
        <w:pStyle w:val="EndnoteText"/>
        <w:tabs>
          <w:tab w:val="left" w:pos="648" w:leader="none"/>
        </w:tabs>
      </w:pPr>
      <w:r>
        <w:rPr>
          <w:rStyle w:val="EndnoteReference"/>
        </w:rPr>
        <w:endnoteRef/>
      </w:r>
      <w:r>
        <w:rPr>
          <w:vertAlign w:val="superscript"/>
        </w:rPr>
        <w:t xml:space="preserve"> </w:t>
      </w:r>
      <w:r>
        <w:t xml:space="preserve">Whitehead, </w:t>
      </w:r>
      <w:r>
        <w:rPr>
          <w:i/>
        </w:rPr>
        <w:t>Adventures of Ideas</w:t>
      </w:r>
      <w:r>
        <w:t xml:space="preserve"> (New York: Free Press, 1933), p. 228.</w:t>
      </w:r>
      <w:r/>
    </w:p>
  </w:endnote>
  <w:endnote w:id="83">
    <w:p>
      <w:pPr>
        <w:ind w:left="0" w:firstLine="446"/>
        <w:widowControl/>
        <w:pStyle w:val="EndnoteText"/>
        <w:tabs>
          <w:tab w:val="left" w:pos="648" w:leader="none"/>
        </w:tabs>
      </w:pPr>
      <w:r>
        <w:rPr>
          <w:rStyle w:val="EndnoteReference"/>
        </w:rPr>
        <w:endnoteRef/>
      </w:r>
      <w:r>
        <w:t xml:space="preserve"> Whitehead, </w:t>
      </w:r>
      <w:r>
        <w:rPr>
          <w:i/>
        </w:rPr>
        <w:t xml:space="preserve">Process and </w:t>
      </w:r>
      <w:r>
        <w:t>Reality, p. 4.</w:t>
      </w:r>
      <w:r/>
    </w:p>
  </w:endnote>
  <w:endnote w:id="84">
    <w:p>
      <w:pPr>
        <w:ind w:left="0" w:firstLine="446"/>
        <w:widowControl/>
        <w:pStyle w:val="EndnoteText"/>
        <w:tabs>
          <w:tab w:val="left" w:pos="648" w:leader="none"/>
        </w:tabs>
      </w:pPr>
      <w:r>
        <w:rPr>
          <w:rStyle w:val="EndnoteReference"/>
        </w:rPr>
        <w:endnoteRef/>
      </w:r>
      <w:r>
        <w:t xml:space="preserve"> See, for instance, A. N. Whitehead, The Romantic Reaction, in </w:t>
      </w:r>
      <w:r>
        <w:rPr>
          <w:i/>
        </w:rPr>
        <w:t>Science and the Modern World</w:t>
      </w:r>
      <w:r>
        <w:t xml:space="preserve"> (New York: Free Press, 1967).</w:t>
      </w:r>
      <w:r/>
    </w:p>
  </w:endnote>
  <w:endnote w:id="85">
    <w:p>
      <w:pPr>
        <w:ind w:left="0" w:firstLine="446"/>
        <w:widowControl/>
        <w:pStyle w:val="EndnoteText"/>
        <w:tabs>
          <w:tab w:val="left" w:pos="648" w:leader="none"/>
        </w:tabs>
      </w:pPr>
      <w:r>
        <w:rPr>
          <w:rStyle w:val="EndnoteReference"/>
        </w:rPr>
        <w:endnoteRef/>
      </w:r>
      <w:r>
        <w:rPr>
          <w:vertAlign w:val="superscript"/>
        </w:rPr>
        <w:t xml:space="preserve"> </w:t>
      </w:r>
      <w:r>
        <w:t xml:space="preserve">Whitehead, </w:t>
      </w:r>
      <w:r>
        <w:rPr>
          <w:i/>
        </w:rPr>
        <w:t>Process and Reality</w:t>
      </w:r>
      <w:r>
        <w:t>, p. 224.</w:t>
      </w:r>
      <w:r/>
    </w:p>
  </w:endnote>
  <w:endnote w:id="86">
    <w:p>
      <w:pPr>
        <w:ind w:left="0" w:firstLine="446"/>
        <w:widowControl/>
        <w:pStyle w:val="EndnoteText"/>
        <w:tabs>
          <w:tab w:val="left" w:pos="648" w:leader="none"/>
        </w:tabs>
      </w:pPr>
      <w:r>
        <w:rPr>
          <w:rStyle w:val="EndnoteReference"/>
        </w:rPr>
        <w:endnoteRef/>
      </w:r>
      <w:r>
        <w:t xml:space="preserve"> Ibid., p. 113).</w:t>
      </w:r>
      <w:r/>
    </w:p>
  </w:endnote>
  <w:endnote w:id="87">
    <w:p>
      <w:pPr>
        <w:ind w:left="0" w:firstLine="446"/>
        <w:widowControl/>
        <w:pStyle w:val="EndnoteText"/>
        <w:tabs>
          <w:tab w:val="left" w:pos="648" w:leader="none"/>
        </w:tabs>
      </w:pPr>
      <w:r>
        <w:rPr>
          <w:rStyle w:val="EndnoteReference"/>
        </w:rPr>
        <w:endnoteRef/>
      </w:r>
      <w:r>
        <w:t xml:space="preserve"> W</w:t>
      </w:r>
      <w:r>
        <w:rPr>
          <w:spacing w:val="-2"/>
        </w:rPr>
        <w:t xml:space="preserve">hitehead, </w:t>
      </w:r>
      <w:r>
        <w:rPr>
          <w:i/>
          <w:spacing w:val="-2"/>
        </w:rPr>
        <w:t>Science and the Modern World</w:t>
      </w:r>
      <w:r>
        <w:rPr>
          <w:spacing w:val="-2"/>
        </w:rPr>
        <w:t xml:space="preserve"> (New York: Free Press, 1925), p. 104</w:t>
      </w:r>
      <w:r>
        <w:t>.</w:t>
      </w:r>
      <w:r/>
    </w:p>
  </w:endnote>
  <w:endnote w:id="88">
    <w:p>
      <w:pPr>
        <w:ind w:left="0" w:firstLine="446"/>
        <w:widowControl/>
        <w:pStyle w:val="EndnoteText"/>
        <w:tabs>
          <w:tab w:val="left" w:pos="648" w:leader="none"/>
        </w:tabs>
      </w:pPr>
      <w:r>
        <w:rPr>
          <w:rStyle w:val="EndnoteReference"/>
        </w:rPr>
        <w:endnoteRef/>
      </w:r>
      <w:r>
        <w:t xml:space="preserve"> Whitehead</w:t>
      </w:r>
      <w:r>
        <w:rPr>
          <w:i/>
        </w:rPr>
        <w:t>, Process and Reality</w:t>
      </w:r>
      <w:r>
        <w:t>, p. 45.</w:t>
      </w:r>
      <w:r/>
    </w:p>
  </w:endnote>
  <w:endnote w:id="89">
    <w:p>
      <w:pPr>
        <w:ind w:left="0" w:firstLine="446"/>
        <w:widowControl/>
        <w:pStyle w:val="EndnoteText"/>
        <w:tabs>
          <w:tab w:val="left" w:pos="648" w:leader="none"/>
        </w:tabs>
      </w:pPr>
      <w:r>
        <w:rPr>
          <w:rStyle w:val="EndnoteReference"/>
        </w:rPr>
        <w:endnoteRef/>
      </w:r>
      <w:r>
        <w:t xml:space="preserve"> Ibid., p. 245.</w:t>
      </w:r>
      <w:r/>
    </w:p>
  </w:endnote>
  <w:endnote w:id="90">
    <w:p>
      <w:pPr>
        <w:ind w:left="0" w:firstLine="446"/>
        <w:widowControl/>
        <w:pStyle w:val="EndnoteText"/>
        <w:tabs>
          <w:tab w:val="left" w:pos="648" w:leader="none"/>
        </w:tabs>
      </w:pPr>
      <w:r>
        <w:rPr>
          <w:rStyle w:val="EndnoteReference"/>
        </w:rPr>
        <w:endnoteRef/>
      </w:r>
      <w:r>
        <w:t xml:space="preserve"> Ibid., p. 228.</w:t>
      </w:r>
      <w:r/>
    </w:p>
  </w:endnote>
  <w:endnote w:id="91">
    <w:p>
      <w:pPr>
        <w:ind w:left="0" w:firstLine="446"/>
        <w:widowControl/>
        <w:pStyle w:val="EndnoteText"/>
        <w:tabs>
          <w:tab w:val="left" w:pos="648" w:leader="none"/>
        </w:tabs>
      </w:pPr>
      <w:r>
        <w:rPr>
          <w:rStyle w:val="EndnoteReference"/>
        </w:rPr>
        <w:endnoteRef/>
      </w:r>
      <w:r>
        <w:t xml:space="preserve"> Ibid., p. 167.</w:t>
      </w:r>
      <w:r/>
    </w:p>
  </w:endnote>
  <w:endnote w:id="92">
    <w:p>
      <w:pPr>
        <w:ind w:left="0" w:firstLine="446"/>
        <w:widowControl/>
        <w:pStyle w:val="EndnoteText"/>
        <w:tabs>
          <w:tab w:val="left" w:pos="648" w:leader="none"/>
        </w:tabs>
      </w:pPr>
      <w:r>
        <w:rPr>
          <w:rStyle w:val="EndnoteReference"/>
        </w:rPr>
        <w:endnoteRef/>
      </w:r>
      <w:r>
        <w:t xml:space="preserve"> See “Implication and the Algebra of Logic,” </w:t>
      </w:r>
      <w:r>
        <w:rPr>
          <w:i/>
        </w:rPr>
        <w:t>Mind</w:t>
      </w:r>
      <w:r>
        <w:t xml:space="preserve"> 21 (1912): 522</w:t>
      </w:r>
      <w:r>
        <w:rPr>
          <w:color w:val="1A1A1A"/>
        </w:rPr>
        <w:t>–</w:t>
      </w:r>
      <w:r>
        <w:rPr>
          <w:color w:val="1A1A1A"/>
        </w:rPr>
        <w:t xml:space="preserve">531; “The Calculus of Strict Implication,” </w:t>
      </w:r>
      <w:r>
        <w:rPr>
          <w:i/>
          <w:color w:val="1A1A1A"/>
        </w:rPr>
        <w:t>Mind</w:t>
      </w:r>
      <w:r>
        <w:rPr>
          <w:color w:val="1A1A1A"/>
        </w:rPr>
        <w:t xml:space="preserve"> 23 (1914): 240–247; </w:t>
      </w:r>
      <w:r>
        <w:rPr>
          <w:i/>
          <w:color w:val="1A1A1A"/>
        </w:rPr>
        <w:t>A Survey of Symbolic Logic</w:t>
      </w:r>
      <w:r>
        <w:rPr>
          <w:color w:val="1A1A1A"/>
        </w:rPr>
        <w:t xml:space="preserve"> (Berkeley: University of California Press, 1918).</w:t>
      </w:r>
      <w:r/>
    </w:p>
  </w:endnote>
  <w:endnote w:id="93">
    <w:p>
      <w:pPr>
        <w:ind w:left="0" w:firstLine="446"/>
        <w:widowControl/>
        <w:pStyle w:val="EndnoteText"/>
        <w:tabs>
          <w:tab w:val="left" w:pos="648" w:leader="none"/>
        </w:tabs>
      </w:pPr>
      <w:r>
        <w:rPr>
          <w:rStyle w:val="EndnoteReference"/>
        </w:rPr>
        <w:endnoteRef/>
      </w:r>
      <w:r>
        <w:t xml:space="preserve"> </w:t>
      </w:r>
      <w:r>
        <w:rPr>
          <w:i/>
        </w:rPr>
        <w:t>Stanford Encyclopedia of Philosophy</w:t>
      </w:r>
      <w:r>
        <w:t>, s.v. “Clarence Irving Lewis.” http://plato.stanford.edu/entries/lewis-ci/ (accessed 2/28/2015).</w:t>
      </w:r>
      <w:r/>
    </w:p>
  </w:endnote>
  <w:endnote w:id="94">
    <w:p>
      <w:pPr>
        <w:ind w:left="0" w:firstLine="446"/>
        <w:widowControl/>
        <w:pStyle w:val="EndnoteText"/>
        <w:tabs>
          <w:tab w:val="left" w:pos="648" w:leader="none"/>
        </w:tabs>
      </w:pPr>
      <w:r>
        <w:rPr>
          <w:rStyle w:val="EndnoteReference"/>
        </w:rPr>
        <w:endnoteRef/>
      </w:r>
      <w:r>
        <w:t xml:space="preserve"> W. V. Quine, “Two Dogmas of Empiricism,” </w:t>
      </w:r>
      <w:r>
        <w:rPr>
          <w:i/>
        </w:rPr>
        <w:t>The Philosophical Review</w:t>
      </w:r>
      <w:r>
        <w:t xml:space="preserve"> 60 (1951): 20–43.</w:t>
      </w:r>
      <w:r/>
    </w:p>
  </w:endnote>
  <w:endnote w:id="95">
    <w:p>
      <w:pPr>
        <w:ind w:left="0" w:firstLine="446"/>
        <w:widowControl/>
        <w:pStyle w:val="EndnoteText"/>
        <w:tabs>
          <w:tab w:val="left" w:pos="648" w:leader="none"/>
        </w:tabs>
      </w:pPr>
      <w:r>
        <w:rPr>
          <w:rStyle w:val="EndnoteReference"/>
        </w:rPr>
        <w:endnoteRef/>
      </w:r>
      <w:r>
        <w:t xml:space="preserve"> Wilfrid Stalker Sellars, </w:t>
      </w:r>
      <w:r>
        <w:rPr>
          <w:color w:val="1A1A1A"/>
          <w:spacing w:val="4"/>
        </w:rPr>
        <w:t xml:space="preserve">Empiricism and the Philosophy of Mind, pp. 253–329, in </w:t>
      </w:r>
      <w:r>
        <w:rPr>
          <w:i/>
          <w:color w:val="1A1A1A"/>
          <w:spacing w:val="4"/>
        </w:rPr>
        <w:t>Minnesota Stud</w:t>
      </w:r>
      <w:r>
        <w:rPr>
          <w:i/>
          <w:spacing w:val="4"/>
        </w:rPr>
        <w:t>ies in the Philosophy of Science</w:t>
      </w:r>
      <w:r>
        <w:rPr>
          <w:spacing w:val="4"/>
        </w:rPr>
        <w:t>, vol. 1, eds. H. Feigl and M. Scriven (Minneapolis: University of Minnesota Press, 1956). Originally presented at the University of London Special Lectures in Philosophy for 1956 as “The Myth of the Given: Three Lectures on Empiricism and the Philosophy of Mind.”</w:t>
      </w:r>
      <w:r/>
    </w:p>
  </w:endnote>
  <w:endnote w:id="96">
    <w:p>
      <w:pPr>
        <w:ind w:left="0" w:firstLine="446"/>
        <w:widowControl/>
        <w:pStyle w:val="EndnoteText"/>
        <w:tabs>
          <w:tab w:val="left" w:pos="648" w:leader="none"/>
        </w:tabs>
      </w:pPr>
      <w:r>
        <w:rPr>
          <w:rStyle w:val="EndnoteReference"/>
        </w:rPr>
        <w:endnoteRef/>
      </w:r>
      <w:r>
        <w:t xml:space="preserve"> Donald Davidson, “On the Very Idea of a Conceptual Scheme,” </w:t>
      </w:r>
      <w:r>
        <w:rPr>
          <w:i/>
        </w:rPr>
        <w:t>Proceedings and Addresses of the American Philosophical Association</w:t>
      </w:r>
      <w:r>
        <w:t xml:space="preserve"> 47 (November 1974): 5–20; reprinted this series, 8:209–222.</w:t>
      </w:r>
      <w:r/>
    </w:p>
  </w:endnote>
  <w:endnote w:id="97">
    <w:p>
      <w:pPr>
        <w:ind w:left="0" w:firstLine="446"/>
        <w:widowControl/>
        <w:pStyle w:val="EndnoteText"/>
        <w:tabs>
          <w:tab w:val="left" w:pos="648" w:leader="none"/>
        </w:tabs>
      </w:pPr>
      <w:r>
        <w:rPr>
          <w:rStyle w:val="EndnoteReference"/>
        </w:rPr>
        <w:endnoteRef/>
      </w:r>
      <w:r>
        <w:t xml:space="preserve"> C. I. Lewis, </w:t>
      </w:r>
      <w:r>
        <w:rPr>
          <w:i/>
        </w:rPr>
        <w:t>Mind and the World Order</w:t>
      </w:r>
      <w:r>
        <w:t xml:space="preserve"> (New York: C. Scribner's Sons, 1929).</w:t>
      </w:r>
      <w:r/>
    </w:p>
  </w:endnote>
  <w:endnote w:id="98">
    <w:p>
      <w:pPr>
        <w:ind w:left="0" w:firstLine="446"/>
        <w:widowControl/>
        <w:pStyle w:val="EndnoteText"/>
        <w:tabs>
          <w:tab w:val="left" w:pos="648" w:leader="none"/>
        </w:tabs>
      </w:pPr>
      <w:r>
        <w:rPr>
          <w:rStyle w:val="EndnoteReference"/>
        </w:rPr>
        <w:endnoteRef/>
      </w:r>
      <w:r>
        <w:t xml:space="preserve"> Albert R. Chandler, “Joseph Alexander Leighton,” </w:t>
      </w:r>
      <w:r>
        <w:rPr>
          <w:i/>
        </w:rPr>
        <w:t>Proceedings and Addresses of the American Philosophical Association</w:t>
      </w:r>
      <w:r>
        <w:t xml:space="preserve"> 28 (1954–1955): 63–64.</w:t>
      </w:r>
    </w:p>
    <w:p>
      <w:pPr>
        <w:ind w:left="0" w:firstLine="0"/>
        <w:spacing w:before="100" w:beforeAutospacing="0" w:after="100" w:afterAutospacing="0"/>
        <w:jc w:val="left"/>
        <w:widowControl/>
        <w:pStyle w:val="EndnoteText"/>
        <w:tabs>
          <w:tab w:val="left" w:pos="648" w:leader="none"/>
        </w:tabs>
      </w:pPr>
      <w:r>
        <w:rPr>
          <w:b/>
        </w:rPr>
        <w:t>Shook: Philosophers during Wartime and Peacetime, 1941–1950</w:t>
      </w:r>
      <w:r/>
    </w:p>
  </w:endnote>
  <w:endnote w:id="99">
    <w:p>
      <w:pPr>
        <w:ind w:left="0" w:firstLine="446"/>
        <w:widowControl/>
        <w:pStyle w:val="EndnoteText"/>
        <w:tabs>
          <w:tab w:val="left" w:pos="648" w:leader="none"/>
        </w:tabs>
        <w:rPr>
          <w:b/>
          <w:noProof w:val="1"/>
        </w:rPr>
      </w:pPr>
      <w:r>
        <w:rPr>
          <w:rStyle w:val="EndnoteReference"/>
          <w:noProof w:val="1"/>
        </w:rPr>
        <w:endnoteRef/>
      </w:r>
      <w:r>
        <w:rPr>
          <w:noProof w:val="1"/>
        </w:rPr>
        <w:t xml:space="preserve"> Francis Fukuyama, </w:t>
      </w:r>
      <w:r>
        <w:rPr>
          <w:i/>
          <w:noProof w:val="1"/>
        </w:rPr>
        <w:t>The End of History and the Last Man</w:t>
      </w:r>
      <w:r>
        <w:rPr>
          <w:noProof w:val="1"/>
        </w:rPr>
        <w:t xml:space="preserve"> (New York: Free Press, 1992), p. 49.</w:t>
      </w:r>
      <w:r>
        <w:rPr>
          <w:b/>
          <w:noProof w:val="1"/>
        </w:rPr>
      </w:r>
    </w:p>
  </w:endnote>
  <w:endnote w:id="100">
    <w:p>
      <w:pPr>
        <w:ind w:left="0" w:firstLine="446"/>
        <w:widowControl/>
        <w:pStyle w:val="EndnoteText"/>
        <w:tabs>
          <w:tab w:val="left" w:pos="648" w:leader="none"/>
        </w:tabs>
      </w:pPr>
      <w:r>
        <w:rPr>
          <w:rStyle w:val="EndnoteReference"/>
        </w:rPr>
        <w:endnoteRef/>
      </w:r>
      <w:r>
        <w:t xml:space="preserve"> John Dewey, “No Matter What Happens—Stay Out!,” </w:t>
      </w:r>
      <w:r>
        <w:rPr>
          <w:i/>
        </w:rPr>
        <w:t>Common Sense</w:t>
      </w:r>
      <w:r>
        <w:t xml:space="preserve"> 8 (March 1939): 11.</w:t>
      </w:r>
      <w:r/>
    </w:p>
  </w:endnote>
  <w:endnote w:id="101">
    <w:p>
      <w:pPr>
        <w:ind w:left="0" w:firstLine="446"/>
        <w:widowControl/>
        <w:pStyle w:val="EndnoteText"/>
        <w:tabs>
          <w:tab w:val="left" w:pos="648" w:leader="none"/>
        </w:tabs>
      </w:pPr>
      <w:r>
        <w:rPr>
          <w:rStyle w:val="EndnoteReference"/>
        </w:rPr>
        <w:endnoteRef/>
      </w:r>
      <w:r>
        <w:t xml:space="preserve"> John Dewey, Lessons from the War—in Philosophy, in </w:t>
      </w:r>
      <w:r>
        <w:rPr>
          <w:i/>
        </w:rPr>
        <w:t>The Later Works, 1925–1953</w:t>
      </w:r>
      <w:r>
        <w:t xml:space="preserve">, vol. 14, </w:t>
      </w:r>
      <w:r>
        <w:rPr>
          <w:i/>
        </w:rPr>
        <w:t>Essays, Reviews, and Miscellany, 1939–1941</w:t>
      </w:r>
      <w:r>
        <w:t>, ed. Jo Ann Boydston</w:t>
      </w:r>
      <w:r>
        <w:rPr>
          <w:i/>
        </w:rPr>
        <w:t xml:space="preserve"> </w:t>
      </w:r>
      <w:r>
        <w:t>(Carbondale: SIU Press, 1988), pp. 312 ff.</w:t>
      </w:r>
      <w:r/>
    </w:p>
  </w:endnote>
  <w:endnote w:id="102">
    <w:p>
      <w:pPr>
        <w:ind w:left="0" w:firstLine="446"/>
        <w:widowControl/>
        <w:pStyle w:val="EndnoteText"/>
        <w:tabs>
          <w:tab w:val="left" w:pos="648" w:leader="none"/>
        </w:tabs>
      </w:pPr>
      <w:r>
        <w:rPr>
          <w:rStyle w:val="EndnoteReference"/>
        </w:rPr>
        <w:endnoteRef/>
      </w:r>
      <w:r>
        <w:t xml:space="preserve"> John Patrick Diggens, </w:t>
      </w:r>
      <w:r>
        <w:rPr>
          <w:i/>
        </w:rPr>
        <w:t>The Promise of Pragmatism</w:t>
      </w:r>
      <w:r>
        <w:t xml:space="preserve"> (Chicago: University of Chicago Press, 1994), p. 2.</w:t>
      </w:r>
      <w:r/>
    </w:p>
  </w:endnote>
  <w:endnote w:id="103">
    <w:p>
      <w:pPr>
        <w:ind w:left="0" w:firstLine="446"/>
        <w:widowControl/>
        <w:pStyle w:val="EndnoteText"/>
        <w:tabs>
          <w:tab w:val="left" w:pos="648" w:leader="none"/>
        </w:tabs>
      </w:pPr>
      <w:r>
        <w:rPr>
          <w:rStyle w:val="EndnoteReference"/>
        </w:rPr>
        <w:endnoteRef/>
      </w:r>
      <w:r>
        <w:t xml:space="preserve"> Quoted in I. L. Kandel, </w:t>
      </w:r>
      <w:r>
        <w:rPr>
          <w:i/>
        </w:rPr>
        <w:t>The Impact of the War upon American Education</w:t>
      </w:r>
      <w:r>
        <w:t xml:space="preserve"> (Chapel Hill: University of North Carolina Press, 1949), p. 10.</w:t>
      </w:r>
      <w:r/>
    </w:p>
  </w:endnote>
  <w:endnote w:id="104">
    <w:p>
      <w:pPr>
        <w:ind w:left="0" w:firstLine="446"/>
        <w:widowControl/>
        <w:pStyle w:val="EndnoteText"/>
        <w:tabs>
          <w:tab w:val="left" w:pos="648" w:leader="none"/>
        </w:tabs>
      </w:pPr>
      <w:r>
        <w:rPr>
          <w:rStyle w:val="EndnoteReference"/>
        </w:rPr>
        <w:endnoteRef/>
      </w:r>
      <w:r>
        <w:t xml:space="preserve"> Radoslav Andrea Tsanoff,</w:t>
      </w:r>
      <w:r>
        <w:rPr>
          <w:i/>
        </w:rPr>
        <w:t xml:space="preserve"> The</w:t>
      </w:r>
      <w:r>
        <w:t xml:space="preserve"> </w:t>
      </w:r>
      <w:r>
        <w:rPr>
          <w:i/>
        </w:rPr>
        <w:t>Moral</w:t>
      </w:r>
      <w:r>
        <w:t xml:space="preserve"> </w:t>
      </w:r>
      <w:r>
        <w:rPr>
          <w:i/>
        </w:rPr>
        <w:t>Ideals</w:t>
      </w:r>
      <w:r>
        <w:t xml:space="preserve"> </w:t>
      </w:r>
      <w:r>
        <w:rPr>
          <w:i/>
        </w:rPr>
        <w:t>of</w:t>
      </w:r>
      <w:r>
        <w:t xml:space="preserve"> </w:t>
      </w:r>
      <w:r>
        <w:rPr>
          <w:i/>
        </w:rPr>
        <w:t>Our</w:t>
      </w:r>
      <w:r>
        <w:t xml:space="preserve"> </w:t>
      </w:r>
      <w:r>
        <w:rPr>
          <w:i/>
        </w:rPr>
        <w:t>Civilization</w:t>
      </w:r>
      <w:r>
        <w:t xml:space="preserve"> (New York: E. P. Dutton, 1942).</w:t>
      </w:r>
      <w:r/>
    </w:p>
  </w:endnote>
  <w:endnote w:id="105">
    <w:p>
      <w:pPr>
        <w:ind w:left="0" w:firstLine="446"/>
        <w:widowControl/>
        <w:pStyle w:val="EndnoteText"/>
        <w:tabs>
          <w:tab w:val="left" w:pos="648" w:leader="none"/>
        </w:tabs>
      </w:pPr>
      <w:r>
        <w:rPr>
          <w:rStyle w:val="EndnoteReference"/>
        </w:rPr>
        <w:endnoteRef/>
      </w:r>
      <w:r>
        <w:t xml:space="preserve"> “Proceedings of the American Philosophical Association of 1944–May 1, 1945,” </w:t>
      </w:r>
      <w:r>
        <w:rPr>
          <w:i/>
        </w:rPr>
        <w:t>Philosophical Review</w:t>
      </w:r>
      <w:r>
        <w:t xml:space="preserve"> 54, no. 4 (July 1945): 369–399, at 397.</w:t>
      </w:r>
      <w:r/>
    </w:p>
  </w:endnote>
  <w:endnote w:id="106">
    <w:p>
      <w:pPr>
        <w:ind w:left="0" w:firstLine="446"/>
        <w:widowControl/>
        <w:pStyle w:val="EndnoteText"/>
        <w:tabs>
          <w:tab w:val="left" w:pos="648" w:leader="none"/>
        </w:tabs>
      </w:pPr>
      <w:r>
        <w:rPr>
          <w:rStyle w:val="EndnoteReference"/>
        </w:rPr>
        <w:endnoteRef/>
      </w:r>
      <w:r>
        <w:t xml:space="preserve"> George Hartmann, “The Strength and Weakness of the Pacifist Position as Seen by American Philosophers,” </w:t>
      </w:r>
      <w:r>
        <w:rPr>
          <w:i/>
        </w:rPr>
        <w:t>Philosophical Review</w:t>
      </w:r>
      <w:r>
        <w:t xml:space="preserve"> 53 (1944): 125–144.</w:t>
      </w:r>
      <w:r/>
    </w:p>
  </w:endnote>
  <w:endnote w:id="107">
    <w:p>
      <w:pPr>
        <w:ind w:left="0" w:firstLine="446"/>
        <w:widowControl/>
        <w:pStyle w:val="EndnoteText"/>
        <w:tabs>
          <w:tab w:val="left" w:pos="648" w:leader="none"/>
        </w:tabs>
      </w:pPr>
      <w:r>
        <w:rPr>
          <w:rStyle w:val="EndnoteReference"/>
        </w:rPr>
        <w:endnoteRef/>
      </w:r>
      <w:r>
        <w:rPr>
          <w:vertAlign w:val="superscript"/>
        </w:rPr>
        <w:t xml:space="preserve"> </w:t>
      </w:r>
      <w:r>
        <w:t xml:space="preserve">Edgar Sheffield Brightman, “Philosophy in the United States 1939–1945,” </w:t>
      </w:r>
      <w:r>
        <w:rPr>
          <w:i/>
        </w:rPr>
        <w:t>Philosophical Review</w:t>
      </w:r>
      <w:r>
        <w:t xml:space="preserve"> 56 (1947): 390–405.</w:t>
      </w:r>
      <w:r/>
    </w:p>
  </w:endnote>
  <w:endnote w:id="108">
    <w:p>
      <w:pPr>
        <w:ind w:left="0" w:firstLine="446"/>
        <w:widowControl/>
        <w:pStyle w:val="EndnoteText"/>
        <w:tabs>
          <w:tab w:val="left" w:pos="648" w:leader="none"/>
        </w:tabs>
      </w:pPr>
      <w:r>
        <w:rPr>
          <w:rStyle w:val="EndnoteReference"/>
        </w:rPr>
        <w:endnoteRef/>
      </w:r>
      <w:r>
        <w:t xml:space="preserve"> Brand Blanshard, “From the Commission’s Mailbag,” </w:t>
      </w:r>
      <w:r>
        <w:rPr>
          <w:i/>
        </w:rPr>
        <w:t>Philosophical Review</w:t>
      </w:r>
      <w:r>
        <w:t xml:space="preserve"> 54 (1945): 197–259.</w:t>
      </w:r>
      <w:r/>
    </w:p>
  </w:endnote>
  <w:endnote w:id="109">
    <w:p>
      <w:pPr>
        <w:ind w:left="0" w:firstLine="446"/>
        <w:widowControl/>
        <w:pStyle w:val="EndnoteText"/>
        <w:tabs>
          <w:tab w:val="left" w:pos="648" w:leader="none"/>
        </w:tabs>
      </w:pPr>
      <w:r>
        <w:rPr>
          <w:rStyle w:val="EndnoteReference"/>
        </w:rPr>
        <w:endnoteRef/>
      </w:r>
      <w:r>
        <w:t xml:space="preserve"> Brand Blanshard, et al., </w:t>
      </w:r>
      <w:r>
        <w:rPr>
          <w:i/>
        </w:rPr>
        <w:t>Philosophy in American Education: Its Tasks and Opportunities</w:t>
      </w:r>
      <w:r>
        <w:t xml:space="preserve"> (New York: Harper and Brothers, 1945).</w:t>
      </w:r>
      <w:r/>
    </w:p>
  </w:endnote>
  <w:endnote w:id="110">
    <w:p>
      <w:pPr>
        <w:ind w:left="0" w:firstLine="446"/>
        <w:widowControl/>
        <w:pStyle w:val="EndnoteText"/>
        <w:tabs>
          <w:tab w:val="left" w:pos="648" w:leader="none"/>
        </w:tabs>
      </w:pPr>
      <w:r>
        <w:rPr>
          <w:rStyle w:val="EndnoteReference"/>
        </w:rPr>
        <w:endnoteRef/>
      </w:r>
      <w:r>
        <w:t xml:space="preserve"> W</w:t>
      </w:r>
      <w:r>
        <w:rPr>
          <w:spacing w:val="-3"/>
        </w:rPr>
        <w:t xml:space="preserve">illiam James, “The PhD Octopus,” </w:t>
      </w:r>
      <w:r>
        <w:rPr>
          <w:i/>
          <w:spacing w:val="-3"/>
        </w:rPr>
        <w:t>Harvard Monthly</w:t>
      </w:r>
      <w:r>
        <w:rPr>
          <w:spacing w:val="-3"/>
        </w:rPr>
        <w:t xml:space="preserve"> (March 1903), </w:t>
        <w:fldChar w:fldCharType="begin"/>
        <w:instrText xml:space="preserve"> HYPERLINK "http://grammar.about.com/od/classicessays/a/The-Ph-D-Octopus-By-William-James-Classic-%20Essays.htm" </w:instrText>
        <w:fldChar w:fldCharType="separate"/>
      </w:r>
      <w:r>
        <w:rPr>
          <w:spacing w:val="-3"/>
          <w:u w:val="single"/>
        </w:rPr>
        <w:t>http://grammar.about.com/od/classicessays/a/The-Ph-D-Octopus-By-William-James-Classic- Essays.htm</w:t>
        <w:fldChar w:fldCharType="end"/>
      </w:r>
      <w:r>
        <w:t xml:space="preserve"> (accessed 03 March 2015).</w:t>
      </w:r>
      <w:r/>
    </w:p>
  </w:endnote>
  <w:endnote w:id="111">
    <w:p>
      <w:pPr>
        <w:ind w:left="0" w:firstLine="446"/>
        <w:widowControl/>
        <w:pStyle w:val="EndnoteText"/>
        <w:tabs>
          <w:tab w:val="left" w:pos="648" w:leader="none"/>
        </w:tabs>
      </w:pPr>
      <w:r>
        <w:rPr>
          <w:rStyle w:val="EndnoteReference"/>
        </w:rPr>
        <w:endnoteRef/>
      </w:r>
      <w:r>
        <w:rPr>
          <w:vertAlign w:val="superscript"/>
        </w:rPr>
        <w:t xml:space="preserve"> </w:t>
      </w:r>
      <w:r>
        <w:t xml:space="preserve">Daniel Sommer Robinson, </w:t>
      </w:r>
      <w:r>
        <w:rPr>
          <w:i/>
        </w:rPr>
        <w:t>Political Ethics: An Application of Ethical Principles to Political Relations</w:t>
      </w:r>
      <w:r>
        <w:t xml:space="preserve"> (New York: Thomas Y. Crowell, 1935).</w:t>
      </w:r>
      <w:r/>
    </w:p>
  </w:endnote>
  <w:endnote w:id="112">
    <w:p>
      <w:pPr>
        <w:ind w:left="0" w:firstLine="446"/>
        <w:widowControl/>
        <w:pStyle w:val="EndnoteText"/>
        <w:tabs>
          <w:tab w:val="left" w:pos="648" w:leader="none"/>
        </w:tabs>
      </w:pPr>
      <w:r>
        <w:rPr>
          <w:rStyle w:val="EndnoteReference"/>
        </w:rPr>
        <w:endnoteRef/>
      </w:r>
      <w:r>
        <w:t xml:space="preserve"> Robinson, </w:t>
      </w:r>
      <w:r>
        <w:rPr>
          <w:i/>
        </w:rPr>
        <w:t>The Principles of Conduct: An Introduction to Theoretical and Applied Ethics</w:t>
      </w:r>
      <w:r>
        <w:t xml:space="preserve"> (New York: Appleton-Century-Crofts, 1948).</w:t>
      </w:r>
      <w:r/>
    </w:p>
  </w:endnote>
  <w:endnote w:id="113">
    <w:p>
      <w:pPr>
        <w:ind w:left="0" w:firstLine="446"/>
        <w:widowControl/>
        <w:pStyle w:val="EndnoteText"/>
        <w:tabs>
          <w:tab w:val="left" w:pos="648" w:leader="none"/>
        </w:tabs>
      </w:pPr>
      <w:r>
        <w:rPr>
          <w:rStyle w:val="EndnoteReference"/>
        </w:rPr>
        <w:endnoteRef/>
      </w:r>
      <w:r>
        <w:t xml:space="preserve"> Karl R. Popper, Prediction and Prophecy in the Social Sciences, in </w:t>
      </w:r>
      <w:r>
        <w:rPr>
          <w:i/>
        </w:rPr>
        <w:t>Conjectures and Refutations: The Growth of Scientific Knowledge</w:t>
      </w:r>
      <w:r>
        <w:t xml:space="preserve"> (New York: Routledge &amp; Kegan Paul, 1963/2014), pp. 452–466.</w:t>
      </w:r>
    </w:p>
    <w:p>
      <w:pPr>
        <w:ind w:left="0" w:firstLine="0"/>
        <w:spacing w:before="100" w:beforeAutospacing="0" w:after="100" w:afterAutospacing="0"/>
        <w:jc w:val="left"/>
        <w:widowControl/>
        <w:pStyle w:val="EndnoteText"/>
        <w:tabs>
          <w:tab w:val="left" w:pos="648" w:leader="none"/>
        </w:tabs>
      </w:pPr>
      <w:r>
        <w:rPr>
          <w:b/>
        </w:rPr>
        <w:t>Ryan: An Anxious Age</w:t>
      </w:r>
      <w:r/>
    </w:p>
  </w:endnote>
  <w:endnote w:id="114">
    <w:p>
      <w:pPr>
        <w:ind w:left="0" w:firstLine="446"/>
        <w:widowControl/>
        <w:pStyle w:val="EndnoteText"/>
        <w:tabs>
          <w:tab w:val="left" w:pos="648" w:leader="none"/>
        </w:tabs>
        <w:rPr>
          <w:b/>
          <w:noProof w:val="1"/>
        </w:rPr>
      </w:pPr>
      <w:r>
        <w:rPr>
          <w:rStyle w:val="EndnoteReference"/>
          <w:noProof w:val="1"/>
        </w:rPr>
        <w:endnoteRef/>
      </w:r>
      <w:r>
        <w:rPr>
          <w:noProof w:val="1"/>
        </w:rPr>
        <w:t xml:space="preserve"> John Dewey, Critical Pedagogy, in </w:t>
      </w:r>
      <w:r>
        <w:rPr>
          <w:i/>
          <w:noProof w:val="1"/>
        </w:rPr>
        <w:t>Dewey’s Critical Pragmatism</w:t>
      </w:r>
      <w:r>
        <w:rPr>
          <w:noProof w:val="1"/>
        </w:rPr>
        <w:t>, ed. Alison Kadlec (Plymouth, UK: Lexington Books, 2007), p. 44.</w:t>
      </w:r>
      <w:r>
        <w:rPr>
          <w:b/>
          <w:noProof w:val="1"/>
        </w:rPr>
      </w:r>
    </w:p>
  </w:endnote>
  <w:endnote w:id="115">
    <w:p>
      <w:pPr>
        <w:ind w:left="0" w:firstLine="446"/>
        <w:widowControl/>
        <w:pStyle w:val="EndnoteText"/>
        <w:tabs>
          <w:tab w:val="left" w:pos="648" w:leader="none"/>
        </w:tabs>
      </w:pPr>
      <w:r>
        <w:rPr>
          <w:rStyle w:val="EndnoteReference"/>
        </w:rPr>
        <w:endnoteRef/>
      </w:r>
      <w:r>
        <w:t xml:space="preserve"> John Dewey, </w:t>
      </w:r>
      <w:r>
        <w:rPr>
          <w:color w:val="000000"/>
        </w:rPr>
        <w:t>The Need for a Recovery of Philosophy</w:t>
      </w:r>
      <w:r>
        <w:t xml:space="preserve">, in </w:t>
      </w:r>
      <w:r>
        <w:rPr>
          <w:i/>
        </w:rPr>
        <w:t>Creative Intelligence: Essays in the Pragmatic Attitude</w:t>
      </w:r>
      <w:r>
        <w:t>, eds. Boyd H. Bode, Harold Chapman Brown, John Dewey, et al.</w:t>
      </w:r>
      <w:r>
        <w:rPr>
          <w:i/>
        </w:rPr>
        <w:t xml:space="preserve"> </w:t>
      </w:r>
      <w:r>
        <w:t>(New York: Holt, 1917)</w:t>
      </w:r>
      <w:r>
        <w:rPr>
          <w:color w:val="000000"/>
        </w:rPr>
        <w:t xml:space="preserve">, </w:t>
      </w:r>
      <w:r>
        <w:t>pp. 3–69, at 65.</w:t>
      </w:r>
      <w:r/>
    </w:p>
  </w:endnote>
  <w:endnote w:id="116">
    <w:p>
      <w:pPr>
        <w:ind w:left="0" w:firstLine="446"/>
        <w:widowControl/>
        <w:pStyle w:val="EndnoteText"/>
        <w:tabs>
          <w:tab w:val="left" w:pos="648" w:leader="none"/>
        </w:tabs>
      </w:pPr>
      <w:r>
        <w:rPr>
          <w:rStyle w:val="EndnoteReference"/>
        </w:rPr>
        <w:endnoteRef/>
      </w:r>
      <w:r>
        <w:t xml:space="preserve"> Ludwig Wittgenstein, </w:t>
      </w:r>
      <w:r>
        <w:rPr>
          <w:i/>
        </w:rPr>
        <w:t>Tractatus Logico-Philosophicus: German and English</w:t>
      </w:r>
      <w:r>
        <w:t>, 2nd ed., trans. C. K. Ogden (London: Routledge, 1962), 5.4711.</w:t>
      </w:r>
      <w:r/>
    </w:p>
  </w:endnote>
  <w:endnote w:id="117">
    <w:p>
      <w:pPr>
        <w:ind w:left="0" w:firstLine="446"/>
        <w:widowControl/>
        <w:pStyle w:val="EndnoteText"/>
        <w:tabs>
          <w:tab w:val="left" w:pos="648" w:leader="none"/>
        </w:tabs>
      </w:pPr>
      <w:r>
        <w:rPr>
          <w:rStyle w:val="EndnoteReference"/>
        </w:rPr>
        <w:endnoteRef/>
      </w:r>
      <w:r>
        <w:t xml:space="preserve"> W</w:t>
      </w:r>
      <w:r>
        <w:rPr>
          <w:spacing w:val="-2"/>
        </w:rPr>
        <w:t xml:space="preserve">. J. Entwistle, </w:t>
      </w:r>
      <w:r>
        <w:rPr>
          <w:i/>
          <w:spacing w:val="-2"/>
        </w:rPr>
        <w:t xml:space="preserve">Aspects of Language </w:t>
      </w:r>
      <w:r>
        <w:rPr>
          <w:spacing w:val="-2"/>
        </w:rPr>
        <w:t>(London: Faber and Faber, 1953), p. 162</w:t>
      </w:r>
      <w:r>
        <w:t>.</w:t>
      </w:r>
      <w:r/>
    </w:p>
  </w:endnote>
  <w:endnote w:id="118">
    <w:p>
      <w:pPr>
        <w:ind w:left="0" w:firstLine="446"/>
        <w:widowControl/>
        <w:pStyle w:val="EndnoteText"/>
        <w:tabs>
          <w:tab w:val="left" w:pos="648" w:leader="none"/>
        </w:tabs>
      </w:pPr>
      <w:r>
        <w:rPr>
          <w:rStyle w:val="EndnoteReference"/>
        </w:rPr>
        <w:endnoteRef/>
      </w:r>
      <w:r>
        <w:t xml:space="preserve"> See M</w:t>
      </w:r>
      <w:r>
        <w:rPr>
          <w:spacing w:val="1"/>
        </w:rPr>
        <w:t xml:space="preserve">ax Eastman, “John Dewey,” </w:t>
      </w:r>
      <w:r>
        <w:rPr>
          <w:i/>
          <w:spacing w:val="1"/>
        </w:rPr>
        <w:t>Atlantic Monthly</w:t>
      </w:r>
      <w:r>
        <w:rPr>
          <w:spacing w:val="1"/>
        </w:rPr>
        <w:t xml:space="preserve"> 168 (1941): 673</w:t>
      </w:r>
      <w:r>
        <w:t>.</w:t>
      </w:r>
      <w:r/>
    </w:p>
  </w:endnote>
  <w:endnote w:id="119">
    <w:p>
      <w:pPr>
        <w:ind w:left="0" w:firstLine="446"/>
        <w:widowControl/>
        <w:pStyle w:val="EndnoteText"/>
        <w:tabs>
          <w:tab w:val="left" w:pos="648" w:leader="none"/>
        </w:tabs>
      </w:pPr>
      <w:r>
        <w:rPr>
          <w:rStyle w:val="EndnoteReference"/>
        </w:rPr>
        <w:endnoteRef/>
      </w:r>
      <w:r>
        <w:t xml:space="preserve"> Thomas Kuhn, </w:t>
      </w:r>
      <w:r>
        <w:rPr>
          <w:i/>
        </w:rPr>
        <w:t>The Structure of Scientific Revolutions </w:t>
      </w:r>
      <w:r>
        <w:t>(Chicago: University of Chicago Press, 1962).</w:t>
      </w:r>
      <w:r/>
    </w:p>
  </w:endnote>
  <w:endnote w:id="120">
    <w:p>
      <w:pPr>
        <w:ind w:left="0" w:firstLine="446"/>
        <w:widowControl/>
        <w:pStyle w:val="EndnoteText"/>
        <w:tabs>
          <w:tab w:val="left" w:pos="648" w:leader="none"/>
        </w:tabs>
      </w:pPr>
      <w:r>
        <w:rPr>
          <w:rStyle w:val="EndnoteReference"/>
        </w:rPr>
        <w:endnoteRef/>
      </w:r>
      <w:r>
        <w:t xml:space="preserve"> Frederick Engels, </w:t>
      </w:r>
      <w:r>
        <w:rPr>
          <w:i/>
        </w:rPr>
        <w:t xml:space="preserve">Ludwig Feuerback and the Outcome of Classical German Philosophy </w:t>
      </w:r>
      <w:r>
        <w:t>(New York: International Publishers, 1941), p. 11.</w:t>
      </w:r>
      <w:r/>
    </w:p>
  </w:endnote>
</w:end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multilevel"/>
    <w:lvl w:ilvl="0">
      <w:start w:val="1"/>
      <w:numFmt w:val="none"/>
      <w:rPr>
        <w:rFonts w:ascii="Times New Roman" w:hAnsi="Times New Roman" w:eastAsia="Times New Roman"/>
        <w:sz w:val="18"/>
        <w:b w:val="0"/>
        <w:i w:val="0"/>
        <w:color w:val="auto"/>
      </w:rPr>
      <w:pPr>
        <w:ind w:left="0" w:firstLine="144"/>
      </w:pPr>
      <w:lvlJc w:val="right"/>
      <w:lvlText w:val=""/>
      <w:suff w:val="nothing"/>
      <w:pStyle w:val="EndnoteText"/>
    </w:lvl>
    <w:lvl w:ilvl="1">
      <w:start w:val="1"/>
      <w:numFmt w:val="lowerLetter"/>
      <w:pPr>
        <w:ind w:left="1440" w:hanging="360"/>
      </w:pPr>
      <w:lvlJc w:val="left"/>
      <w:lvlText w:val="%2."/>
      <w:suff w:val="tab"/>
    </w:lvl>
    <w:lvl w:ilvl="2">
      <w:start w:val="1"/>
      <w:numFmt w:val="lowerRoman"/>
      <w:pPr>
        <w:ind w:left="2160" w:hanging="180"/>
      </w:pPr>
      <w:lvlJc w:val="right"/>
      <w:lvlText w:val="%3."/>
      <w:suff w:val="tab"/>
    </w:lvl>
    <w:lvl w:ilvl="3">
      <w:start w:val="1"/>
      <w:numFmt w:val="decimal"/>
      <w:pPr>
        <w:ind w:left="2880" w:hanging="360"/>
      </w:pPr>
      <w:lvlJc w:val="left"/>
      <w:lvlText w:val="%4."/>
      <w:suff w:val="tab"/>
    </w:lvl>
    <w:lvl w:ilvl="4">
      <w:start w:val="1"/>
      <w:numFmt w:val="lowerLetter"/>
      <w:pPr>
        <w:ind w:left="3600" w:hanging="360"/>
      </w:pPr>
      <w:lvlJc w:val="left"/>
      <w:lvlText w:val="%5."/>
      <w:suff w:val="tab"/>
    </w:lvl>
    <w:lvl w:ilvl="5">
      <w:start w:val="1"/>
      <w:numFmt w:val="lowerRoman"/>
      <w:pPr>
        <w:ind w:left="4320" w:hanging="180"/>
      </w:pPr>
      <w:lvlJc w:val="right"/>
      <w:lvlText w:val="%6."/>
      <w:suff w:val="tab"/>
    </w:lvl>
    <w:lvl w:ilvl="6">
      <w:start w:val="1"/>
      <w:numFmt w:val="decimal"/>
      <w:pPr>
        <w:ind w:left="5040" w:hanging="360"/>
      </w:pPr>
      <w:lvlJc w:val="left"/>
      <w:lvlText w:val="%7."/>
      <w:suff w:val="tab"/>
    </w:lvl>
    <w:lvl w:ilvl="7">
      <w:start w:val="1"/>
      <w:numFmt w:val="lowerLetter"/>
      <w:pPr>
        <w:ind w:left="5760" w:hanging="360"/>
      </w:pPr>
      <w:lvlJc w:val="left"/>
      <w:lvlText w:val="%8."/>
      <w:suff w:val="tab"/>
    </w:lvl>
    <w:lvl w:ilvl="8">
      <w:start w:val="1"/>
      <w:numFmt w:val="lowerRoman"/>
      <w:pPr>
        <w:ind w:left="6480" w:hanging="180"/>
      </w:pPr>
      <w:lvlJc w:val="right"/>
      <w:lvlText w:val="%9."/>
      <w:suff w:val="tab"/>
    </w:lvl>
  </w:abstractNum>
  <w:abstractNum w:abstractNumId="2">
    <w:multiLevelType w:val="multilevel"/>
    <w:lvl w:ilvl="0">
      <w:start w:val="1"/>
      <w:numFmt w:val="decimal"/>
      <w:pPr>
        <w:ind w:left="0" w:firstLine="0"/>
      </w:pPr>
      <w:lvlJc w:val="left"/>
      <w:lvlText w:val="%1."/>
      <w:suff w:val="tab"/>
      <w:pStyle w:val="Heading3"/>
    </w:lvl>
    <w:lvl w:ilvl="1">
      <w:start w:val="1"/>
      <w:numFmt w:val="lowerLetter"/>
      <w:pPr>
        <w:ind w:left="1440" w:hanging="360"/>
      </w:pPr>
      <w:lvlJc w:val="left"/>
      <w:lvlText w:val="%2."/>
      <w:suff w:val="tab"/>
    </w:lvl>
    <w:lvl w:ilvl="2">
      <w:start w:val="1"/>
      <w:numFmt w:val="lowerRoman"/>
      <w:pPr>
        <w:ind w:left="2160" w:hanging="180"/>
      </w:pPr>
      <w:lvlJc w:val="right"/>
      <w:lvlText w:val="%3."/>
      <w:suff w:val="tab"/>
    </w:lvl>
    <w:lvl w:ilvl="3">
      <w:start w:val="1"/>
      <w:numFmt w:val="decimal"/>
      <w:pPr>
        <w:ind w:left="2880" w:hanging="360"/>
      </w:pPr>
      <w:lvlJc w:val="left"/>
      <w:lvlText w:val="%4."/>
      <w:suff w:val="tab"/>
    </w:lvl>
    <w:lvl w:ilvl="4">
      <w:start w:val="1"/>
      <w:numFmt w:val="lowerLetter"/>
      <w:pPr>
        <w:ind w:left="3600" w:hanging="360"/>
      </w:pPr>
      <w:lvlJc w:val="left"/>
      <w:lvlText w:val="%5."/>
      <w:suff w:val="tab"/>
    </w:lvl>
    <w:lvl w:ilvl="5">
      <w:start w:val="1"/>
      <w:numFmt w:val="lowerRoman"/>
      <w:pPr>
        <w:ind w:left="4320" w:hanging="180"/>
      </w:pPr>
      <w:lvlJc w:val="right"/>
      <w:lvlText w:val="%6."/>
      <w:suff w:val="tab"/>
    </w:lvl>
    <w:lvl w:ilvl="6">
      <w:start w:val="1"/>
      <w:numFmt w:val="decimal"/>
      <w:pPr>
        <w:ind w:left="5040" w:hanging="360"/>
      </w:pPr>
      <w:lvlJc w:val="left"/>
      <w:lvlText w:val="%7."/>
      <w:suff w:val="tab"/>
    </w:lvl>
    <w:lvl w:ilvl="7">
      <w:start w:val="1"/>
      <w:numFmt w:val="lowerLetter"/>
      <w:pPr>
        <w:ind w:left="5760" w:hanging="360"/>
      </w:pPr>
      <w:lvlJc w:val="left"/>
      <w:lvlText w:val="%8."/>
      <w:suff w:val="tab"/>
    </w:lvl>
    <w:lvl w:ilvl="8">
      <w:start w:val="1"/>
      <w:numFmt w:val="lowerRoman"/>
      <w:pPr>
        <w:ind w:left="6480" w:hanging="180"/>
      </w:pPr>
      <w:lvlJc w:val="right"/>
      <w:lvlText w:val="%9."/>
      <w:suff w:val="tab"/>
    </w:lvl>
  </w:abstractNum>
  <w:abstractNum w:abstractNumId="1">
    <w:multiLevelType w:val="multilevel"/>
    <w:lvl w:ilvl="0">
      <w:start w:val="1"/>
      <w:numFmt w:val="decimal"/>
      <w:pPr>
        <w:ind w:left="0" w:firstLine="431"/>
      </w:pPr>
      <w:lvlJc w:val="left"/>
      <w:lvlText w:val="%1"/>
      <w:suff w:val="tab"/>
      <w:pStyle w:val="NumberedNotes"/>
    </w:lvl>
    <w:lvl w:ilvl="1">
      <w:start w:val="1"/>
      <w:numFmt w:val="decimal"/>
      <w:pPr>
        <w:ind w:left="1440" w:hanging="360"/>
      </w:pPr>
      <w:lvlJc w:val="left"/>
      <w:lvlText w:val="%2."/>
      <w:suff w:val="tab"/>
    </w:lvl>
    <w:lvl w:ilvl="2">
      <w:start w:val="1"/>
      <w:numFmt w:val="decimal"/>
      <w:pPr>
        <w:ind w:left="2160" w:hanging="360"/>
      </w:pPr>
      <w:lvlJc w:val="left"/>
      <w:lvlText w:val="%3."/>
      <w:suff w:val="tab"/>
    </w:lvl>
    <w:lvl w:ilvl="3">
      <w:start w:val="1"/>
      <w:numFmt w:val="decimal"/>
      <w:pPr>
        <w:ind w:left="2880" w:hanging="360"/>
      </w:pPr>
      <w:lvlJc w:val="left"/>
      <w:lvlText w:val="%4."/>
      <w:suff w:val="tab"/>
    </w:lvl>
    <w:lvl w:ilvl="4">
      <w:start w:val="1"/>
      <w:numFmt w:val="decimal"/>
      <w:pPr>
        <w:ind w:left="3600" w:hanging="360"/>
      </w:pPr>
      <w:lvlJc w:val="left"/>
      <w:lvlText w:val="%5."/>
      <w:suff w:val="tab"/>
    </w:lvl>
    <w:lvl w:ilvl="5">
      <w:start w:val="1"/>
      <w:numFmt w:val="decimal"/>
      <w:pPr>
        <w:ind w:left="4320" w:hanging="360"/>
      </w:pPr>
      <w:lvlJc w:val="left"/>
      <w:lvlText w:val="%6."/>
      <w:suff w:val="tab"/>
    </w:lvl>
    <w:lvl w:ilvl="6">
      <w:start w:val="1"/>
      <w:numFmt w:val="decimal"/>
      <w:pPr>
        <w:ind w:left="5040" w:hanging="360"/>
      </w:pPr>
      <w:lvlJc w:val="left"/>
      <w:lvlText w:val="%7."/>
      <w:suff w:val="tab"/>
    </w:lvl>
    <w:lvl w:ilvl="7">
      <w:start w:val="1"/>
      <w:numFmt w:val="decimal"/>
      <w:pPr>
        <w:ind w:left="5760" w:hanging="360"/>
      </w:pPr>
      <w:lvlJc w:val="left"/>
      <w:lvlText w:val="%8."/>
      <w:suff w:val="tab"/>
    </w:lvl>
    <w:lvl w:ilvl="8">
      <w:start w:val="1"/>
      <w:numFmt w:val="decimal"/>
      <w:pPr>
        <w:ind w:left="6480" w:hanging="360"/>
      </w:pPr>
      <w:lvlJc w:val="left"/>
      <w:lvlText w:val="%9."/>
      <w:suff w:val="tab"/>
    </w:lvl>
  </w:abstractNum>
  <w:num w:numId="3">
    <w:abstractNumId w:val="3"/>
  </w:num>
  <w:num w:numId="2">
    <w:abstractNumId w:val="2"/>
  </w: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432"/>
  <w:autoHyphenation/>
  <w:hyphenationZone w:val="360"/>
  <w:endnotePr>
    <w:endnote w:id="0"/>
    <w:endnote w:id="1"/>
  </w:endnotePr>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Arial" w:hAnsi="Arial" w:eastAsia="Arial"/>
      <w:sz w:val="24"/>
      <w:color w:val="000080"/>
    </w:rPr>
    <w:pPr/>
  </w:style>
  <w:style w:type="paragraph" w:styleId="Heading1">
    <w:name w:val="Heading 1"/>
    <w:basedOn w:val="Normal"/>
    <w:next w:val="Normal"/>
    <w:rPr>
      <w:rFonts w:ascii="Times New Roman" w:hAnsi="Times New Roman" w:eastAsia="Times New Roman"/>
      <w:sz w:val="24"/>
      <w:color w:val="auto"/>
    </w:rPr>
    <w:pPr>
      <w:spacing w:after="160" w:afterAutospacing="0"/>
      <w:jc w:val="center"/>
      <w:keepNext/>
      <w:outlineLvl w:val="0"/>
    </w:pPr>
  </w:style>
  <w:style w:type="paragraph" w:styleId="Heading2">
    <w:name w:val="Heading 2"/>
    <w:rPr>
      <w:sz w:val="24"/>
    </w:rPr>
    <w:pPr>
      <w:jc w:val="center"/>
      <w:keepNext/>
      <w:widowControl w:val="0"/>
      <w:outlineLvl w:val="1"/>
    </w:pPr>
  </w:style>
  <w:style w:type="paragraph" w:styleId="Heading3">
    <w:name w:val="Heading 3"/>
    <w:next w:val="Normal"/>
    <w:rPr>
      <w:sz w:val="28"/>
    </w:rPr>
    <w:pPr>
      <w:numPr>
        <w:ilvl w:val="0"/>
        <w:numId w:val="2"/>
      </w:numPr>
      <w:jc w:val="center"/>
      <w:keepNext/>
      <w:outlineLvl w:val="2"/>
    </w:pPr>
  </w:style>
  <w:style w:type="paragraph" w:styleId="Heading4">
    <w:name w:val="Heading 4"/>
    <w:next w:val="Normal"/>
    <w:rPr>
      <w:b/>
    </w:rPr>
    <w:pPr>
      <w:jc w:val="center"/>
      <w:keepNext/>
      <w:outlineLvl w:val="3"/>
    </w:pPr>
  </w:style>
  <w:style w:type="paragraph" w:styleId="Heading5">
    <w:name w:val="Heading 5"/>
    <w:next w:val="Normal"/>
    <w:pPr>
      <w:jc w:val="center"/>
      <w:outlineLvl w:val="4"/>
    </w:pPr>
  </w:style>
  <w:style w:type="paragraph" w:styleId="Heading6">
    <w:name w:val="Heading 6"/>
    <w:next w:val="Normal"/>
    <w:rPr>
      <w:b/>
    </w:rPr>
    <w:pPr>
      <w:jc w:val="center"/>
      <w:keepNext/>
      <w:outlineLvl w:val="5"/>
    </w:pPr>
  </w:style>
  <w:style w:type="paragraph" w:styleId="BodyText">
    <w:name w:val="Body Text"/>
    <w:pPr>
      <w:spacing w:line="238" w:lineRule="exact"/>
      <w:jc w:val="both"/>
    </w:pPr>
  </w:style>
  <w:style w:type="paragraph" w:styleId="BodyText2">
    <w:name w:val="Body Text 2"/>
    <w:pPr>
      <w:ind w:firstLine="446"/>
      <w:spacing w:line="238" w:lineRule="exact"/>
      <w:jc w:val="both"/>
    </w:pPr>
  </w:style>
  <w:style w:type="paragraph" w:styleId="blockquote">
    <w:name w:val="block_quote"/>
    <w:pPr>
      <w:ind w:left="432"/>
      <w:spacing w:line="238" w:lineRule="exact"/>
      <w:jc w:val="both"/>
      <w:tabs>
        <w:tab w:val="left" w:pos="215" w:leader="none"/>
      </w:tabs>
    </w:pPr>
  </w:style>
  <w:style w:type="paragraph" w:styleId="Header">
    <w:name w:val="Header"/>
    <w:basedOn w:val="Normal"/>
    <w:rPr>
      <w:rFonts w:ascii="Times New Roman" w:hAnsi="Times New Roman" w:eastAsia="Times New Roman"/>
      <w:sz w:val="20"/>
      <w:i/>
      <w:caps/>
      <w:color w:val="000000"/>
    </w:rPr>
    <w:pPr>
      <w:tabs>
        <w:tab w:val="right" w:pos="204" w:leader="none"/>
      </w:tabs>
    </w:pPr>
  </w:style>
  <w:style w:type="paragraph" w:styleId="TOC1">
    <w:name w:val="TOC 1"/>
    <w:next w:val="Normal"/>
    <w:rPr>
      <w:caps/>
    </w:rPr>
    <w:pPr>
      <w:spacing w:before="200" w:beforeAutospacing="0" w:after="200" w:afterAutospacing="0"/>
      <w:jc w:val="center"/>
      <w:tabs>
        <w:tab w:val="right" w:pos="6271" w:leader="none"/>
      </w:tabs>
    </w:pPr>
  </w:style>
  <w:style w:type="paragraph" w:styleId="TOC3">
    <w:name w:val="TOC 3"/>
    <w:basedOn w:val="Normal"/>
    <w:next w:val="Normal"/>
    <w:rPr>
      <w:sz w:val="20"/>
      <w:caps/>
    </w:rPr>
    <w:pPr>
      <w:ind w:left="284"/>
      <w:spacing w:after="120" w:afterAutospacing="0"/>
      <w:tabs>
        <w:tab w:val="right" w:pos="6271" w:leader="none"/>
      </w:tabs>
    </w:pPr>
  </w:style>
  <w:style w:type="paragraph" w:styleId="TOC6">
    <w:name w:val="TOC 6"/>
    <w:basedOn w:val="Normal"/>
    <w:next w:val="Normal"/>
    <w:rPr>
      <w:rFonts w:ascii="Times New Roman" w:hAnsi="Times New Roman" w:eastAsia="Times New Roman"/>
      <w:sz w:val="20"/>
      <w:smallCaps/>
      <w:color w:val="auto"/>
    </w:rPr>
    <w:pPr>
      <w:tabs>
        <w:tab w:val="right" w:pos="720" w:leader="none"/>
        <w:tab w:val="right" w:pos="1080" w:leader="none"/>
        <w:tab w:val="right" w:pos="6480" w:leader="none"/>
      </w:tabs>
    </w:pPr>
  </w:style>
  <w:style w:type="paragraph" w:styleId="TOC9">
    <w:name w:val="TOC 9"/>
    <w:next w:val="Normal"/>
    <w:pPr>
      <w:jc w:val="center"/>
      <w:tabs>
        <w:tab w:val="right" w:pos="6271" w:leader="none"/>
      </w:tabs>
    </w:pPr>
  </w:style>
  <w:style w:type="paragraph" w:styleId="Index1">
    <w:name w:val="Index 1"/>
    <w:basedOn w:val="Normal"/>
    <w:next w:val="Normal"/>
    <w:rPr>
      <w:sz w:val="18"/>
    </w:rPr>
    <w:pPr>
      <w:ind w:left="181" w:hanging="181"/>
      <w:tabs>
        <w:tab w:val="right" w:pos="2770" w:leader="dot"/>
      </w:tabs>
    </w:pPr>
  </w:style>
  <w:style w:type="paragraph" w:styleId="NumberedNotes">
    <w:name w:val="NumberedNotes"/>
    <w:basedOn w:val="Normal"/>
    <w:rPr>
      <w:sz w:val="18"/>
    </w:rPr>
    <w:pPr>
      <w:numPr>
        <w:ilvl w:val="0"/>
        <w:numId w:val="1"/>
      </w:numPr>
      <w:jc w:val="both"/>
    </w:pPr>
  </w:style>
  <w:style w:type="paragraph" w:styleId="EndnoteText">
    <w:name w:val="Endnote Text"/>
    <w:rPr>
      <w:sz w:val="18"/>
    </w:rPr>
    <w:pPr>
      <w:numPr>
        <w:ilvl w:val="0"/>
        <w:numId w:val="3"/>
      </w:numPr>
      <w:jc w:val="both"/>
    </w:pPr>
  </w:style>
  <w:style w:type="paragraph" w:styleId="biosources">
    <w:name w:val="biosources"/>
    <w:rPr>
      <w:sz w:val="18"/>
    </w:rPr>
    <w:pPr>
      <w:jc w:val="both"/>
    </w:pPr>
  </w:style>
  <w:style w:type="paragraph" w:styleId="bodytext4">
    <w:name w:val="body text 4"/>
    <w:basedOn w:val="Normal"/>
    <w:rPr>
      <w:i/>
    </w:rPr>
    <w:pPr>
      <w:ind w:firstLine="431"/>
      <w:jc w:val="both"/>
    </w:pPr>
  </w:style>
  <w:style w:type="paragraph" w:styleId="AnnotationText">
    <w:name w:val="Annotation Text"/>
    <w:basedOn w:val="Normal"/>
    <w:rPr>
      <w:sz w:val="20"/>
    </w:rPr>
    <w:pPr/>
  </w:style>
  <w:style w:type="paragraph" w:styleId="BodyText3">
    <w:name w:val="Body Text 3"/>
    <w:basedOn w:val="Normal"/>
    <w:rPr>
      <w:rFonts w:ascii="Times New Roman" w:hAnsi="Times New Roman" w:eastAsia="Times New Roman"/>
      <w:sz w:val="20"/>
    </w:rPr>
    <w:pPr/>
  </w:style>
  <w:style w:type="paragraph" w:styleId="photocaption">
    <w:name w:val="photo_caption"/>
    <w:pPr>
      <w:jc w:val="center"/>
    </w:pPr>
  </w:style>
  <w:style w:type="paragraph" w:styleId="BalloonText">
    <w:name w:val="Balloon Text"/>
    <w:basedOn w:val="Normal"/>
    <w:rPr>
      <w:rFonts w:ascii="Tahoma" w:hAnsi="Tahoma" w:eastAsia="Tahoma"/>
      <w:sz w:val="16"/>
    </w:rPr>
    <w:pPr/>
  </w:style>
  <w:style w:type="paragraph" w:styleId="Footer">
    <w:name w:val="Footer"/>
    <w:basedOn w:val="Normal"/>
    <w:pPr>
      <w:tabs>
        <w:tab w:val="center" w:pos="4320" w:leader="none"/>
        <w:tab w:val="right" w:pos="8640" w:leader="none"/>
      </w:tabs>
    </w:pPr>
  </w:style>
  <w:style w:type="paragraph" w:styleId="annotationsubject">
    <w:name w:val="annotation subject"/>
    <w:basedOn w:val="AnnotationText"/>
    <w:next w:val="AnnotationText"/>
    <w:rPr>
      <w:b/>
    </w:rPr>
    <w:pPr/>
  </w:style>
  <w:style w:type="paragraph" w:styleId="EmailSignature">
    <w:name w:val="E-mail Signature"/>
    <w:basedOn w:val="Normal"/>
    <w:rPr>
      <w:rFonts w:ascii="Times New Roman" w:hAnsi="Times New Roman" w:eastAsia="Times New Roman"/>
      <w:color w:val="auto"/>
    </w:rPr>
    <w:pPr/>
  </w:style>
  <w:style w:type="paragraph" w:styleId="PlainText">
    <w:name w:val="Plain Text"/>
    <w:basedOn w:val="Normal"/>
    <w:rPr>
      <w:rFonts w:ascii="Courier New" w:hAnsi="Courier New" w:eastAsia="Courier New"/>
      <w:sz w:val="20"/>
      <w:color w:val="auto"/>
    </w:rPr>
    <w:pPr/>
  </w:style>
  <w:style w:type="paragraph" w:styleId="HTMLPreformatted">
    <w:name w:val="HTML Preformatted"/>
    <w:basedOn w:val="Normal"/>
    <w:rPr>
      <w:rFonts w:ascii="Courier New" w:hAnsi="Courier New" w:eastAsia="Courier New"/>
      <w:sz w:val="20"/>
      <w:color w:val="000000"/>
    </w:rPr>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Revision">
    <w:name w:val="Revision"/>
    <w:rPr>
      <w:rFonts w:ascii="Arial" w:hAnsi="Arial" w:eastAsia="Arial"/>
      <w:sz w:val="24"/>
      <w:color w:val="000080"/>
    </w:rPr>
    <w:pPr/>
  </w:style>
  <w:style w:type="paragraph" w:styleId="FootnoteText">
    <w:name w:val="Footnote Text"/>
    <w:basedOn w:val="Normal"/>
    <w:rPr>
      <w:sz w:val="20"/>
    </w:rPr>
    <w:pPr/>
  </w:style>
  <w:style w:type="paragraph" w:styleId="NoSpacing">
    <w:name w:val="No Spacing"/>
    <w:pPr>
      <w:ind w:left="0"/>
      <w:widowControl/>
    </w:pPr>
  </w:style>
  <w:style w:type="paragraph" w:styleId="ListParagraph">
    <w:name w:val="List Paragraph"/>
    <w:basedOn w:val="Normal"/>
    <w:rPr>
      <w:rFonts w:ascii="Calibri" w:hAnsi="Calibri" w:eastAsia="Calibri"/>
      <w:sz w:val="22"/>
    </w:rPr>
    <w:pPr>
      <w:ind w:left="720"/>
      <w:spacing w:after="200" w:afterAutospacing="0" w:line="276" w:lineRule="auto"/>
      <w:contextualSpacing/>
    </w:pPr>
  </w:style>
  <w:style w:type="character" w:styleId="EndnoteReference">
    <w:name w:val="Endnote Reference"/>
    <w:rPr>
      <w:vertAlign w:val="superscript"/>
    </w:r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jpe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endnotes" Target="endnot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6.4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T HULL</dc:creator>
  <dcterms:created xsi:type="dcterms:W3CDTF">2015-04-12T09:22:35Z</dcterms:created>
  <cp:lastModifiedBy>Elizabeth D. Boepple</cp:lastModifiedBy>
  <dcterms:modified xsi:type="dcterms:W3CDTF">2015-04-12T09:22:44Z</dcterms:modified>
  <cp:lastPrinted>2015-04-07T23:52:00Z</cp:lastPrinted>
  <dc:title>PRESIDENTIAL ADDRESSES OF</dc:title>
</cp:coreProperties>
</file>