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CellMar>
          <w:left w:type="dxa" w:w="108"/>
          <w:right w:type="dxa" w:w="108"/>
          <w:top w:type="dxa" w:w="57"/>
          <w:bottom w:type="dxa" w:w="57"/>
        </w:tblCellMar>
        <w:jc w:val="left"/>
        <w:tblW w:type="pct" w:w="5000"/>
        <w:tblInd w:type="dxa" w:w="0"/>
        <w:tblLayout w:type="fixed"/>
      </w:tblPr>
      <w:tblGrid>
        <w:gridCol w:w="6480"/>
        <w:gridCol w:w="6480"/>
      </w:tblGrid>
      <w:tr>
        <w:trPr>
          <w:trHeight w:val="0" w:hRule="auto"/>
        </w:trPr>
        <w:tc>
          <w:tcPr>
            <w:tcMar/>
            <w:vAlign w:val="center"/>
            <w:tcBorders>
              <w:left w:val="single" w:sz="4" w:color="auto"/>
              <w:right w:val="single" w:sz="4" w:color="auto"/>
              <w:top w:val="single" w:sz="4" w:color="auto"/>
              <w:bottom w:val="single" w:sz="4" w:color="auto"/>
            </w:tcBorders>
            <w:shd w:fill="FCE8D3"/>
          </w:tcPr>
          <w:p>
            <w:pPr>
              <w:jc w:val="center"/>
            </w:pPr>
            <w:r>
              <w:t>Welsh</w:t>
            </w:r>
          </w:p>
        </w:tc>
        <w:tc>
          <w:tcPr>
            <w:tcMar/>
            <w:vAlign w:val="center"/>
            <w:tcBorders>
              <w:left w:val="single" w:sz="4" w:color="auto"/>
              <w:right w:val="single" w:sz="4" w:color="auto"/>
              <w:top w:val="single" w:sz="4" w:color="auto"/>
              <w:bottom w:val="single" w:sz="4" w:color="auto"/>
            </w:tcBorders>
            <w:shd w:fill="FCE8D3"/>
          </w:tcPr>
          <w:p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English</w:t>
            </w:r>
          </w:p>
        </w:tc>
      </w:tr>
      <w:tr>
        <w:tblPrEx>
          <w:tblCellMar/>
          <w:tblW w:type="pct" w:w="5000"/>
        </w:tblPrEx>
        <w:trPr>
          <w:trHeight w:val="0" w:hRule="auto"/>
        </w:trPr>
        <w:tc>
          <w:tcPr>
            <w:tcMar/>
            <w:vAlign w:val="top"/>
            <w:tcBorders>
              <w:left w:val="single" w:sz="4" w:color="auto"/>
              <w:right w:val="single" w:sz="4" w:color="auto"/>
              <w:top w:val="single" w:sz="4" w:color="auto"/>
              <w:bottom w:val="single" w:sz="4" w:color="auto"/>
            </w:tcBorders>
          </w:tcPr>
          <w:p>
            <w:pPr>
              <w:rPr>
                <w:noProof w:val="1"/>
              </w:rPr>
            </w:pPr>
            <w:r>
              <w:rPr>
                <w:noProof w:val="1"/>
              </w:rPr>
              <w:t xml:space="preserve">Caniatâ hyn i'r testun fod mewn print bras , clir , a gellir ei drawsnewid , gyda'r meddalwedd priodol , i leferydd wedi'i syntheseiddio neu Braille </w:t>
            </w:r>
          </w:p>
        </w:tc>
        <w:tc>
          <w:tcPr>
            <w:tcMar/>
            <w:vAlign w:val="top"/>
            <w:tcBorders>
              <w:left w:val="single" w:sz="4" w:color="auto"/>
              <w:right w:val="single" w:sz="4" w:color="auto"/>
              <w:top w:val="single" w:sz="4" w:color="auto"/>
              <w:bottom w:val="single" w:sz="4" w:color="auto"/>
            </w:tcBorders>
          </w:tcPr>
          <w:p>
            <w:pPr>
              <w:rPr>
                <w:lang w:val="en-GB"/>
              </w:rPr>
            </w:pPr>
            <w:r>
              <w:rPr>
                <w:lang w:val="en-GB"/>
              </w:rPr>
              <w:t xml:space="preserve">This allows the text-only side to be in large , clear print , and it can be converted , with the appropriate software , into synthesized speech or </w:t>
            </w:r>
            <w:r>
              <w:rPr>
                <w:lang w:val="en-GB"/>
              </w:rPr>
              <w:fldChar w:fldCharType="begin"/>
              <w:instrText xml:space="preserve"> HYPERLINK "Welsh-English Glossary.docx" \l "Braille" </w:instrText>
              <w:fldChar w:fldCharType="separate"/>
            </w:r>
            <w:r>
              <w:rPr>
                <w:color w:val="0000FF"/>
              </w:rPr>
              <w:t>Braille</w:t>
            </w:r>
            <w:r>
              <w:rPr>
                <w:color w:val="0000FF"/>
              </w:rPr>
              <w:fldChar w:fldCharType="end"/>
            </w:r>
          </w:p>
        </w:tc>
      </w:tr>
      <w:tr>
        <w:tblPrEx>
          <w:tblCellMar/>
          <w:tblW w:type="pct" w:w="5000"/>
        </w:tblPrEx>
        <w:trPr>
          <w:trHeight w:val="0" w:hRule="auto"/>
        </w:trPr>
        <w:tc>
          <w:tcPr>
            <w:tcMar/>
            <w:vAlign w:val="top"/>
            <w:tcBorders>
              <w:left w:val="single" w:sz="4" w:color="auto"/>
              <w:right w:val="single" w:sz="4" w:color="auto"/>
              <w:top w:val="single" w:sz="4" w:color="auto"/>
              <w:bottom w:val="single" w:sz="4" w:color="auto"/>
            </w:tcBorders>
          </w:tcPr>
          <w:p>
            <w:pPr/>
          </w:p>
        </w:tc>
        <w:tc>
          <w:tcPr>
            <w:tcMar/>
            <w:vAlign w:val="top"/>
            <w:tcBorders>
              <w:left w:val="single" w:sz="4" w:color="auto"/>
              <w:right w:val="single" w:sz="4" w:color="auto"/>
              <w:top w:val="single" w:sz="4" w:color="auto"/>
              <w:bottom w:val="single" w:sz="4" w:color="auto"/>
            </w:tcBorders>
          </w:tcPr>
          <w:p>
            <w:pPr>
              <w:rPr>
                <w:lang w:val="en-GB"/>
              </w:rPr>
            </w:pPr>
          </w:p>
        </w:tc>
      </w:tr>
      <w:tr>
        <w:tblPrEx>
          <w:tblCellMar/>
          <w:tblW w:type="pct" w:w="5000"/>
        </w:tblPrEx>
        <w:trPr>
          <w:trHeight w:val="0" w:hRule="auto"/>
        </w:trPr>
        <w:tc>
          <w:tcPr>
            <w:tcMar/>
            <w:vAlign w:val="top"/>
            <w:tcBorders>
              <w:left w:val="single" w:sz="4" w:color="auto"/>
              <w:right w:val="single" w:sz="4" w:color="auto"/>
              <w:top w:val="single" w:sz="4" w:color="auto"/>
              <w:bottom w:val="single" w:sz="4" w:color="auto"/>
            </w:tcBorders>
          </w:tcPr>
          <w:p>
            <w:pPr/>
          </w:p>
        </w:tc>
        <w:tc>
          <w:tcPr>
            <w:tcMar/>
            <w:vAlign w:val="top"/>
            <w:tcBorders>
              <w:left w:val="single" w:sz="4" w:color="auto"/>
              <w:right w:val="single" w:sz="4" w:color="auto"/>
              <w:top w:val="single" w:sz="4" w:color="auto"/>
              <w:bottom w:val="single" w:sz="4" w:color="auto"/>
            </w:tcBorders>
          </w:tcPr>
          <w:p>
            <w:pPr>
              <w:rPr>
                <w:lang w:val="en-GB"/>
              </w:rPr>
            </w:pPr>
          </w:p>
        </w:tc>
      </w:tr>
      <w:tr>
        <w:tblPrEx>
          <w:tblCellMar/>
          <w:tblW w:type="pct" w:w="5000"/>
        </w:tblPrEx>
        <w:trPr>
          <w:trHeight w:val="0" w:hRule="auto"/>
        </w:trPr>
        <w:tc>
          <w:tcPr>
            <w:tcMar/>
            <w:vAlign w:val="top"/>
            <w:tcBorders>
              <w:left w:val="single" w:sz="4" w:color="auto"/>
              <w:right w:val="single" w:sz="4" w:color="auto"/>
              <w:top w:val="single" w:sz="4" w:color="auto"/>
              <w:bottom w:val="single" w:sz="4" w:color="auto"/>
            </w:tcBorders>
          </w:tcPr>
          <w:p>
            <w:pPr/>
          </w:p>
        </w:tc>
        <w:tc>
          <w:tcPr>
            <w:tcMar/>
            <w:vAlign w:val="top"/>
            <w:tcBorders>
              <w:left w:val="single" w:sz="4" w:color="auto"/>
              <w:right w:val="single" w:sz="4" w:color="auto"/>
              <w:top w:val="single" w:sz="4" w:color="auto"/>
              <w:bottom w:val="single" w:sz="4" w:color="auto"/>
            </w:tcBorders>
          </w:tcPr>
          <w:p>
            <w:pPr>
              <w:rPr>
                <w:lang w:val="en-GB"/>
              </w:rPr>
            </w:pPr>
          </w:p>
        </w:tc>
      </w:tr>
      <w:tr>
        <w:tblPrEx>
          <w:tblCellMar/>
          <w:tblW w:type="pct" w:w="5000"/>
        </w:tblPrEx>
        <w:trPr>
          <w:trHeight w:val="0" w:hRule="auto"/>
        </w:trPr>
        <w:tc>
          <w:tcPr>
            <w:tcMar/>
            <w:vAlign w:val="top"/>
            <w:tcBorders>
              <w:left w:val="single" w:sz="4" w:color="auto"/>
              <w:right w:val="single" w:sz="4" w:color="auto"/>
              <w:top w:val="single" w:sz="4" w:color="auto"/>
              <w:bottom w:val="single" w:sz="4" w:color="auto"/>
            </w:tcBorders>
          </w:tcPr>
          <w:p>
            <w:pPr/>
          </w:p>
        </w:tc>
        <w:tc>
          <w:tcPr>
            <w:tcMar/>
            <w:vAlign w:val="top"/>
            <w:tcBorders>
              <w:left w:val="single" w:sz="4" w:color="auto"/>
              <w:right w:val="single" w:sz="4" w:color="auto"/>
              <w:top w:val="single" w:sz="4" w:color="auto"/>
              <w:bottom w:val="single" w:sz="4" w:color="auto"/>
            </w:tcBorders>
          </w:tcPr>
          <w:p>
            <w:pPr>
              <w:rPr>
                <w:lang w:val="en-GB"/>
              </w:rPr>
            </w:pPr>
          </w:p>
        </w:tc>
      </w:tr>
      <w:tr>
        <w:tblPrEx>
          <w:tblCellMar/>
          <w:tblW w:type="pct" w:w="5000"/>
        </w:tblPrEx>
        <w:trPr>
          <w:trHeight w:val="0" w:hRule="auto"/>
        </w:trPr>
        <w:tc>
          <w:tcPr>
            <w:tcMar/>
            <w:vAlign w:val="top"/>
            <w:tcBorders>
              <w:left w:val="single" w:sz="4" w:color="auto"/>
              <w:right w:val="single" w:sz="4" w:color="auto"/>
              <w:top w:val="single" w:sz="4" w:color="auto"/>
              <w:bottom w:val="single" w:sz="4" w:color="auto"/>
            </w:tcBorders>
          </w:tcPr>
          <w:p>
            <w:pPr/>
          </w:p>
        </w:tc>
        <w:tc>
          <w:tcPr>
            <w:tcMar/>
            <w:vAlign w:val="top"/>
            <w:tcBorders>
              <w:left w:val="single" w:sz="4" w:color="auto"/>
              <w:right w:val="single" w:sz="4" w:color="auto"/>
              <w:top w:val="single" w:sz="4" w:color="auto"/>
              <w:bottom w:val="single" w:sz="4" w:color="auto"/>
            </w:tcBorders>
          </w:tcPr>
          <w:p>
            <w:pPr>
              <w:rPr>
                <w:lang w:val="en-GB"/>
              </w:rPr>
            </w:pPr>
          </w:p>
        </w:tc>
      </w:tr>
      <w:tr>
        <w:tblPrEx>
          <w:tblCellMar/>
          <w:tblW w:type="pct" w:w="5000"/>
        </w:tblPrEx>
        <w:trPr>
          <w:trHeight w:val="0" w:hRule="auto"/>
        </w:trPr>
        <w:tc>
          <w:tcPr>
            <w:tcMar/>
            <w:vAlign w:val="top"/>
            <w:tcBorders>
              <w:left w:val="single" w:sz="4" w:color="auto"/>
              <w:right w:val="single" w:sz="4" w:color="auto"/>
              <w:top w:val="single" w:sz="4" w:color="auto"/>
              <w:bottom w:val="single" w:sz="4" w:color="auto"/>
            </w:tcBorders>
          </w:tcPr>
          <w:p>
            <w:pPr/>
          </w:p>
        </w:tc>
        <w:tc>
          <w:tcPr>
            <w:tcMar/>
            <w:vAlign w:val="top"/>
            <w:tcBorders>
              <w:left w:val="single" w:sz="4" w:color="auto"/>
              <w:right w:val="single" w:sz="4" w:color="auto"/>
              <w:top w:val="single" w:sz="4" w:color="auto"/>
              <w:bottom w:val="single" w:sz="4" w:color="auto"/>
            </w:tcBorders>
          </w:tcPr>
          <w:p>
            <w:pPr>
              <w:rPr>
                <w:lang w:val="en-GB"/>
              </w:rPr>
            </w:pPr>
          </w:p>
        </w:tc>
      </w:tr>
      <w:tr>
        <w:tblPrEx>
          <w:tblCellMar/>
          <w:tblW w:type="pct" w:w="5000"/>
        </w:tblPrEx>
        <w:trPr>
          <w:trHeight w:val="0" w:hRule="auto"/>
        </w:trPr>
        <w:tc>
          <w:tcPr>
            <w:tcMar/>
            <w:vAlign w:val="top"/>
            <w:tcBorders>
              <w:left w:val="single" w:sz="4" w:color="auto"/>
              <w:right w:val="single" w:sz="4" w:color="auto"/>
              <w:top w:val="single" w:sz="4" w:color="auto"/>
              <w:bottom w:val="single" w:sz="4" w:color="auto"/>
            </w:tcBorders>
          </w:tcPr>
          <w:p>
            <w:pPr/>
          </w:p>
        </w:tc>
        <w:tc>
          <w:tcPr>
            <w:tcMar/>
            <w:vAlign w:val="top"/>
            <w:tcBorders>
              <w:left w:val="single" w:sz="4" w:color="auto"/>
              <w:right w:val="single" w:sz="4" w:color="auto"/>
              <w:top w:val="single" w:sz="4" w:color="auto"/>
              <w:bottom w:val="single" w:sz="4" w:color="auto"/>
            </w:tcBorders>
          </w:tcPr>
          <w:p>
            <w:pPr>
              <w:rPr>
                <w:lang w:val="en-GB"/>
              </w:rPr>
            </w:pPr>
          </w:p>
        </w:tc>
      </w:tr>
      <w:tr>
        <w:tblPrEx>
          <w:tblCellMar/>
          <w:tblW w:type="pct" w:w="5000"/>
        </w:tblPrEx>
        <w:trPr>
          <w:trHeight w:val="0" w:hRule="auto"/>
        </w:trPr>
        <w:tc>
          <w:tcPr>
            <w:tcMar/>
            <w:vAlign w:val="top"/>
            <w:tcBorders>
              <w:left w:val="single" w:sz="4" w:color="auto"/>
              <w:right w:val="single" w:sz="4" w:color="auto"/>
              <w:top w:val="single" w:sz="4" w:color="auto"/>
              <w:bottom w:val="single" w:sz="4" w:color="auto"/>
            </w:tcBorders>
          </w:tcPr>
          <w:p>
            <w:pPr/>
          </w:p>
        </w:tc>
        <w:tc>
          <w:tcPr>
            <w:tcMar/>
            <w:vAlign w:val="top"/>
            <w:tcBorders>
              <w:left w:val="single" w:sz="4" w:color="auto"/>
              <w:right w:val="single" w:sz="4" w:color="auto"/>
              <w:top w:val="single" w:sz="4" w:color="auto"/>
              <w:bottom w:val="single" w:sz="4" w:color="auto"/>
            </w:tcBorders>
          </w:tcPr>
          <w:p>
            <w:pPr>
              <w:rPr>
                <w:lang w:val="en-GB"/>
              </w:rPr>
            </w:pPr>
          </w:p>
        </w:tc>
      </w:tr>
    </w:tbl>
    <w:p>
      <w:pPr/>
    </w:p>
    <w:sectPr>
      <w:pgSz w:w="15840" w:h="12240" w:orient="landscape"/>
      <w:pgMar w:top="1440" w:right="1440" w:bottom="1440" w:left="1440" w:header="720" w:footer="720"/>
      <w:cols w:space="720"/>
      <w:noEndnote/>
      <w:pgNumType w:fmt="decimal"/>
      <w:footnotePr>
        <w:numFmt w:val="decimal"/>
        <w:numRestart w:val="continuous"/>
        <w:numStart w:val="1"/>
        <w:pos w:val="pageBottom"/>
      </w:footnotePr>
      <w:endnotePr>
        <w:numFmt w:val="lowerRoman"/>
        <w:numRestart w:val="continuous"/>
        <w:numStart w:val="1"/>
        <w:pos w:val="docEnd"/>
      </w:endnotePr>
    </w:sectPr>
  </w:body>
</w:document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none" w:percent="100"/>
  <w:defaultTabStop w:val="720"/>
  <w:hyphenationZone w:val="36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/>
        <w:sz w:val="20"/>
        <w:lang w:val="en-US"/>
      </w:rPr>
    </w:rPrDefault>
    <w:pPrDefault>
      <w:pPr>
        <w:spacing w:line="240" w:lineRule="auto"/>
      </w:pPr>
    </w:pPrDefault>
    <!-- awp:defLang=1033 -->
  </w:docDefaults>
  <w:style w:type="paragraph" w:default="1" w:styleId="Normal">
    <w:name w:val="Normal"/>
    <w:rPr>
      <w:rFonts w:ascii="Verdana" w:hAnsi="Verdana" w:eastAsia="Verdana"/>
      <w:sz w:val="20"/>
    </w:rPr>
    <w:pPr>
      <w:widowControl/>
    </w:pPr>
  </w:style>
  <w:style w:type="paragraph" w:styleId="Heading1">
    <w:name w:val="Heading 1"/>
    <w:basedOn w:val="Normal"/>
    <w:next w:val="Normal"/>
    <w:rPr>
      <w:sz w:val="28"/>
      <w:b/>
      <w:kerning w:val="28"/>
    </w:rPr>
    <w:pPr>
      <w:spacing w:before="240" w:beforeAutospacing="0" w:after="60" w:afterAutospacing="0"/>
      <w:keepNext/>
      <w:outlineLvl w:val="0"/>
    </w:pPr>
  </w:style>
  <w:style w:type="paragraph" w:styleId="Heading2">
    <w:name w:val="Heading 2"/>
    <w:basedOn w:val="Normal"/>
    <w:next w:val="Normal"/>
    <w:rPr>
      <w:sz w:val="24"/>
      <w:b/>
      <w:i/>
    </w:rPr>
    <w:pPr>
      <w:spacing w:before="240" w:beforeAutospacing="0" w:after="60" w:afterAutospacing="0"/>
      <w:keepNext/>
      <w:outlineLvl w:val="1"/>
    </w:pPr>
  </w:style>
  <w:style w:type="paragraph" w:styleId="Heading3">
    <w:name w:val="Heading 3"/>
    <w:basedOn w:val="Normal"/>
    <w:next w:val="Normal"/>
    <w:rPr>
      <w:b/>
    </w:rPr>
    <w:pPr>
      <w:spacing w:before="240" w:beforeAutospacing="0" w:after="60" w:afterAutospacing="0"/>
      <w:keepNext/>
      <w:outlineLvl w:val="2"/>
    </w:pPr>
  </w:style>
</w:styles>
</file>

<file path=word/_rels/document.xml.rels><?xml version="1.0" encoding="UTF-8" standalone="yes"?><Relationships xmlns="http://schemas.openxmlformats.org/package/2006/relationships"><Relationship Id="rId0" Type="http://schemas.openxmlformats.org/officeDocument/2006/relationships/settings" Target="settings.xml"/><Relationship Id="rId1" Type="http://schemas.openxmlformats.org/officeDocument/2006/relationships/styles" Target="styles.xm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Atlantis Word Processor</Application>
  <!-- awp:appVersion=2.0.4.0 -->
  <!-- awp:caretPosPar=6 --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The Atlantis Word Processor Team</dc:creator>
  <dcterms:created xsi:type="dcterms:W3CDTF">2016-12-24T13:35:51Z</dcterms:created>
  <dcterms:modified xsi:type="dcterms:W3CDTF">2016-12-24T13:56:39Z</dcterms:modified>
  <dc:title>Welsh Translation</dc:title>
</cp:coreProperties>
</file>