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240" w:afterAutospacing="0"/>
        <w:jc w:val="center"/>
        <w:pStyle w:val="Heading1"/>
      </w:pPr>
      <w:r>
        <w:t>Welsh-English Glossary</w:t>
      </w:r>
    </w:p>
    <w:tbl>
      <w:tblPr>
        <w:tblCellMar>
          <w:left w:type="dxa" w:w="108"/>
          <w:right w:type="dxa" w:w="108"/>
          <w:top w:type="dxa" w:w="57"/>
          <w:bottom w:type="dxa" w:w="57"/>
        </w:tblCellMar>
        <w:jc w:val="left"/>
        <w:tblW w:type="pct" w:w="5000"/>
        <w:tblInd w:type="dxa" w:w="0"/>
        <w:tblLayout w:type="fixed"/>
      </w:tblPr>
      <w:tblGrid>
        <w:gridCol w:w="3118"/>
        <w:gridCol w:w="9842"/>
      </w:tblGrid>
      <w:tr>
        <w:trPr>
          <w:trHeight w:val="0" w:hRule="auto"/>
        </w:trPr>
        <w:tc>
          <w:tcPr>
            <w:tcMar/>
            <w:vAlign w:val="center"/>
            <w:tcBorders>
              <w:left w:val="single" w:sz="4" w:color="auto"/>
              <w:right w:val="single" w:sz="4" w:color="auto"/>
              <w:top w:val="single" w:sz="4" w:color="auto"/>
              <w:bottom w:val="single" w:sz="4" w:color="auto"/>
            </w:tcBorders>
            <w:shd w:fill="FCE8D3"/>
          </w:tcPr>
          <w:p>
            <w:pPr>
              <w:jc w:val="center"/>
            </w:pPr>
            <w:r>
              <w:t>Entry</w:t>
            </w:r>
          </w:p>
        </w:tc>
        <w:tc>
          <w:tcPr>
            <w:tcMar/>
            <w:vAlign w:val="center"/>
            <w:tcBorders>
              <w:left w:val="single" w:sz="4" w:color="auto"/>
              <w:right w:val="single" w:sz="4" w:color="auto"/>
              <w:top w:val="single" w:sz="4" w:color="auto"/>
              <w:bottom w:val="single" w:sz="4" w:color="auto"/>
            </w:tcBorders>
            <w:shd w:fill="FCE8D3"/>
          </w:tcPr>
          <w:p>
            <w:pPr>
              <w:jc w:val="center"/>
            </w:pPr>
            <w:r>
              <w:t>Definition</w:t>
            </w:r>
          </w:p>
        </w:tc>
      </w:tr>
      <w:tr>
        <w:tblPrEx>
          <w:tblCellMar/>
          <w:tblW w:type="pct" w:w="5000"/>
        </w:tblPrEx>
        <w:trPr>
          <w:trHeight w:val="0" w:hRule="auto"/>
        </w:trPr>
        <w:tc>
          <w:tcPr>
            <w:tcMar/>
            <w:vAlign w:val="top"/>
            <w:tcBorders>
              <w:left w:val="single" w:sz="4" w:color="auto"/>
              <w:right w:val="single" w:sz="4" w:color="auto"/>
              <w:top w:val="single" w:sz="4" w:color="auto"/>
              <w:bottom w:val="single" w:sz="4" w:color="auto"/>
            </w:tcBorders>
          </w:tcPr>
          <w:p>
            <w:pPr/>
            <w:r/>
            <w:bookmarkStart w:id="0" w:name="Braille"/>
            <w:r/>
            <w:bookmarkEnd w:id="0"/>
            <w:r>
              <w:t>Braille</w:t>
            </w:r>
          </w:p>
        </w:tc>
        <w:tc>
          <w:tcPr>
            <w:tcMar/>
            <w:vAlign w:val="top"/>
            <w:tcBorders>
              <w:left w:val="single" w:sz="4" w:color="auto"/>
              <w:right w:val="single" w:sz="4" w:color="auto"/>
              <w:top w:val="single" w:sz="4" w:color="auto"/>
              <w:bottom w:val="single" w:sz="4" w:color="auto"/>
            </w:tcBorders>
          </w:tcPr>
          <w:p>
            <w:pPr/>
            <w:r>
              <w:t>A form of written language for blind people, in which characters are represented by patterns of raised dots that are felt with the fingertips.</w:t>
            </w:r>
          </w:p>
        </w:tc>
      </w:tr>
      <w:tr>
        <w:tblPrEx>
          <w:tblCellMar/>
          <w:tblW w:type="pct" w:w="5000"/>
        </w:tblPrEx>
        <w:trPr>
          <w:trHeight w:val="0" w:hRule="auto"/>
        </w:trPr>
        <w:tc>
          <w:tcPr>
            <w:tcMar/>
            <w:vAlign w:val="top"/>
            <w:tcBorders>
              <w:left w:val="single" w:sz="4" w:color="auto"/>
              <w:right w:val="single" w:sz="4" w:color="auto"/>
              <w:top w:val="single" w:sz="4" w:color="auto"/>
              <w:bottom w:val="single" w:sz="4" w:color="auto"/>
            </w:tcBorders>
          </w:tcPr>
          <w:p>
            <w:pPr/>
          </w:p>
        </w:tc>
        <w:tc>
          <w:tcPr>
            <w:tcMar/>
            <w:vAlign w:val="top"/>
            <w:tcBorders>
              <w:left w:val="single" w:sz="4" w:color="auto"/>
              <w:right w:val="single" w:sz="4" w:color="auto"/>
              <w:top w:val="single" w:sz="4" w:color="auto"/>
              <w:bottom w:val="single" w:sz="4" w:color="auto"/>
            </w:tcBorders>
          </w:tcPr>
          <w:p>
            <w:pPr/>
          </w:p>
        </w:tc>
      </w:tr>
      <w:tr>
        <w:tblPrEx>
          <w:tblCellMar/>
          <w:tblW w:type="pct" w:w="5000"/>
        </w:tblPrEx>
        <w:trPr>
          <w:trHeight w:val="0" w:hRule="auto"/>
        </w:trPr>
        <w:tc>
          <w:tcPr>
            <w:tcMar/>
            <w:vAlign w:val="top"/>
            <w:tcBorders>
              <w:left w:val="single" w:sz="4" w:color="auto"/>
              <w:right w:val="single" w:sz="4" w:color="auto"/>
              <w:top w:val="single" w:sz="4" w:color="auto"/>
              <w:bottom w:val="single" w:sz="4" w:color="auto"/>
            </w:tcBorders>
          </w:tcPr>
          <w:p>
            <w:pPr/>
          </w:p>
        </w:tc>
        <w:tc>
          <w:tcPr>
            <w:tcMar/>
            <w:vAlign w:val="top"/>
            <w:tcBorders>
              <w:left w:val="single" w:sz="4" w:color="auto"/>
              <w:right w:val="single" w:sz="4" w:color="auto"/>
              <w:top w:val="single" w:sz="4" w:color="auto"/>
              <w:bottom w:val="single" w:sz="4" w:color="auto"/>
            </w:tcBorders>
          </w:tcPr>
          <w:p>
            <w:pPr/>
          </w:p>
        </w:tc>
      </w:tr>
      <w:tr>
        <w:tblPrEx>
          <w:tblCellMar/>
          <w:tblW w:type="pct" w:w="5000"/>
        </w:tblPrEx>
        <w:trPr>
          <w:trHeight w:val="0" w:hRule="auto"/>
        </w:trPr>
        <w:tc>
          <w:tcPr>
            <w:tcMar/>
            <w:vAlign w:val="top"/>
            <w:tcBorders>
              <w:left w:val="single" w:sz="4" w:color="auto"/>
              <w:right w:val="single" w:sz="4" w:color="auto"/>
              <w:top w:val="single" w:sz="4" w:color="auto"/>
              <w:bottom w:val="single" w:sz="4" w:color="auto"/>
            </w:tcBorders>
          </w:tcPr>
          <w:p>
            <w:pPr/>
          </w:p>
        </w:tc>
        <w:tc>
          <w:tcPr>
            <w:tcMar/>
            <w:vAlign w:val="top"/>
            <w:tcBorders>
              <w:left w:val="single" w:sz="4" w:color="auto"/>
              <w:right w:val="single" w:sz="4" w:color="auto"/>
              <w:top w:val="single" w:sz="4" w:color="auto"/>
              <w:bottom w:val="single" w:sz="4" w:color="auto"/>
            </w:tcBorders>
          </w:tcPr>
          <w:p>
            <w:pPr/>
          </w:p>
        </w:tc>
      </w:tr>
      <w:tr>
        <w:tblPrEx>
          <w:tblCellMar/>
          <w:tblW w:type="pct" w:w="5000"/>
        </w:tblPrEx>
        <w:trPr>
          <w:trHeight w:val="0" w:hRule="auto"/>
        </w:trPr>
        <w:tc>
          <w:tcPr>
            <w:tcMar/>
            <w:vAlign w:val="top"/>
            <w:tcBorders>
              <w:left w:val="single" w:sz="4" w:color="auto"/>
              <w:right w:val="single" w:sz="4" w:color="auto"/>
              <w:top w:val="single" w:sz="4" w:color="auto"/>
              <w:bottom w:val="single" w:sz="4" w:color="auto"/>
            </w:tcBorders>
          </w:tcPr>
          <w:p>
            <w:pPr/>
          </w:p>
        </w:tc>
        <w:tc>
          <w:tcPr>
            <w:tcMar/>
            <w:vAlign w:val="top"/>
            <w:tcBorders>
              <w:left w:val="single" w:sz="4" w:color="auto"/>
              <w:right w:val="single" w:sz="4" w:color="auto"/>
              <w:top w:val="single" w:sz="4" w:color="auto"/>
              <w:bottom w:val="single" w:sz="4" w:color="auto"/>
            </w:tcBorders>
          </w:tcPr>
          <w:p>
            <w:pPr/>
          </w:p>
        </w:tc>
      </w:tr>
      <w:tr>
        <w:tblPrEx>
          <w:tblCellMar/>
          <w:tblW w:type="pct" w:w="5000"/>
        </w:tblPrEx>
        <w:trPr>
          <w:trHeight w:val="0" w:hRule="auto"/>
        </w:trPr>
        <w:tc>
          <w:tcPr>
            <w:tcMar/>
            <w:vAlign w:val="top"/>
            <w:tcBorders>
              <w:left w:val="single" w:sz="4" w:color="auto"/>
              <w:right w:val="single" w:sz="4" w:color="auto"/>
              <w:top w:val="single" w:sz="4" w:color="auto"/>
              <w:bottom w:val="single" w:sz="4" w:color="auto"/>
            </w:tcBorders>
          </w:tcPr>
          <w:p>
            <w:pPr/>
          </w:p>
        </w:tc>
        <w:tc>
          <w:tcPr>
            <w:tcMar/>
            <w:vAlign w:val="top"/>
            <w:tcBorders>
              <w:left w:val="single" w:sz="4" w:color="auto"/>
              <w:right w:val="single" w:sz="4" w:color="auto"/>
              <w:top w:val="single" w:sz="4" w:color="auto"/>
              <w:bottom w:val="single" w:sz="4" w:color="auto"/>
            </w:tcBorders>
          </w:tcPr>
          <w:p>
            <w:pPr/>
          </w:p>
        </w:tc>
      </w:tr>
      <w:tr>
        <w:tblPrEx>
          <w:tblCellMar/>
          <w:tblW w:type="pct" w:w="5000"/>
        </w:tblPrEx>
        <w:trPr>
          <w:trHeight w:val="0" w:hRule="auto"/>
        </w:trPr>
        <w:tc>
          <w:tcPr>
            <w:tcMar/>
            <w:vAlign w:val="top"/>
            <w:tcBorders>
              <w:left w:val="single" w:sz="4" w:color="auto"/>
              <w:right w:val="single" w:sz="4" w:color="auto"/>
              <w:top w:val="single" w:sz="4" w:color="auto"/>
              <w:bottom w:val="single" w:sz="4" w:color="auto"/>
            </w:tcBorders>
          </w:tcPr>
          <w:p>
            <w:pPr/>
          </w:p>
        </w:tc>
        <w:tc>
          <w:tcPr>
            <w:tcMar/>
            <w:vAlign w:val="top"/>
            <w:tcBorders>
              <w:left w:val="single" w:sz="4" w:color="auto"/>
              <w:right w:val="single" w:sz="4" w:color="auto"/>
              <w:top w:val="single" w:sz="4" w:color="auto"/>
              <w:bottom w:val="single" w:sz="4" w:color="auto"/>
            </w:tcBorders>
          </w:tcPr>
          <w:p>
            <w:pPr/>
          </w:p>
        </w:tc>
      </w:tr>
      <w:tr>
        <w:tblPrEx>
          <w:tblCellMar/>
          <w:tblW w:type="pct" w:w="5000"/>
        </w:tblPrEx>
        <w:trPr>
          <w:trHeight w:val="0" w:hRule="auto"/>
        </w:trPr>
        <w:tc>
          <w:tcPr>
            <w:tcMar/>
            <w:vAlign w:val="top"/>
            <w:tcBorders>
              <w:left w:val="single" w:sz="4" w:color="auto"/>
              <w:right w:val="single" w:sz="4" w:color="auto"/>
              <w:top w:val="single" w:sz="4" w:color="auto"/>
              <w:bottom w:val="single" w:sz="4" w:color="auto"/>
            </w:tcBorders>
          </w:tcPr>
          <w:p>
            <w:pPr/>
          </w:p>
        </w:tc>
        <w:tc>
          <w:tcPr>
            <w:tcMar/>
            <w:vAlign w:val="top"/>
            <w:tcBorders>
              <w:left w:val="single" w:sz="4" w:color="auto"/>
              <w:right w:val="single" w:sz="4" w:color="auto"/>
              <w:top w:val="single" w:sz="4" w:color="auto"/>
              <w:bottom w:val="single" w:sz="4" w:color="auto"/>
            </w:tcBorders>
          </w:tcPr>
          <w:p>
            <w:pPr/>
          </w:p>
        </w:tc>
      </w:tr>
      <w:tr>
        <w:tblPrEx>
          <w:tblCellMar/>
          <w:tblW w:type="pct" w:w="5000"/>
        </w:tblPrEx>
        <w:trPr>
          <w:trHeight w:val="0" w:hRule="auto"/>
        </w:trPr>
        <w:tc>
          <w:tcPr>
            <w:tcMar/>
            <w:vAlign w:val="top"/>
            <w:tcBorders>
              <w:left w:val="single" w:sz="4" w:color="auto"/>
              <w:right w:val="single" w:sz="4" w:color="auto"/>
              <w:top w:val="single" w:sz="4" w:color="auto"/>
              <w:bottom w:val="single" w:sz="4" w:color="auto"/>
            </w:tcBorders>
          </w:tcPr>
          <w:p>
            <w:pPr/>
          </w:p>
        </w:tc>
        <w:tc>
          <w:tcPr>
            <w:tcMar/>
            <w:vAlign w:val="top"/>
            <w:tcBorders>
              <w:left w:val="single" w:sz="4" w:color="auto"/>
              <w:right w:val="single" w:sz="4" w:color="auto"/>
              <w:top w:val="single" w:sz="4" w:color="auto"/>
              <w:bottom w:val="single" w:sz="4" w:color="auto"/>
            </w:tcBorders>
          </w:tcPr>
          <w:p>
            <w:pPr/>
          </w:p>
        </w:tc>
      </w:tr>
    </w:tbl>
    <w:p>
      <w:pPr/>
    </w:p>
    <w:sectPr>
      <w:pgSz w:w="15840" w:h="12240" w:orient="landscape"/>
      <w:pgMar w:top="1440" w:right="1440" w:bottom="1440" w:left="1440" w:header="720" w:footer="720"/>
      <w:cols w:space="720"/>
      <w:noEndnote/>
      <w:pgNumType w:fmt="decimal"/>
      <w:footnotePr>
        <w:numFmt w:val="decimal"/>
        <w:numRestart w:val="continuous"/>
        <w:numStart w:val="1"/>
        <w:pos w:val="pageBottom"/>
      </w:footnotePr>
      <w:endnotePr>
        <w:numFmt w:val="lowerRoman"/>
        <w:numRestart w:val="continuous"/>
        <w:numStart w:val="1"/>
        <w:pos w:val="docEnd"/>
      </w:endnotePr>
    </w:sectPr>
  </w:body>
</w:document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none" w:percent="100"/>
  <w:defaultTabStop w:val="720"/>
  <w:hyphenationZone w:val="36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/>
        <w:sz w:val="20"/>
        <w:lang w:val="en-US"/>
      </w:rPr>
    </w:rPrDefault>
    <w:pPrDefault>
      <w:pPr>
        <w:spacing w:line="240" w:lineRule="auto"/>
      </w:pPr>
    </w:pPrDefault>
    <!-- awp:defLang=1033 -->
  </w:docDefaults>
  <w:style w:type="paragraph" w:default="1" w:styleId="Normal">
    <w:name w:val="Normal"/>
    <w:rPr>
      <w:rFonts w:ascii="Verdana" w:hAnsi="Verdana" w:eastAsia="Verdana"/>
      <w:sz w:val="20"/>
    </w:rPr>
    <w:pPr>
      <w:widowControl/>
    </w:pPr>
  </w:style>
  <w:style w:type="paragraph" w:styleId="Heading1">
    <w:name w:val="Heading 1"/>
    <w:basedOn w:val="Normal"/>
    <w:next w:val="Normal"/>
    <w:rPr>
      <w:sz w:val="28"/>
      <w:b/>
      <w:kerning w:val="28"/>
    </w:rPr>
    <w:pPr>
      <w:spacing w:before="240" w:beforeAutospacing="0" w:after="60" w:afterAutospacing="0"/>
      <w:keepNext/>
      <w:outlineLvl w:val="0"/>
    </w:pPr>
  </w:style>
  <w:style w:type="paragraph" w:styleId="Heading2">
    <w:name w:val="Heading 2"/>
    <w:basedOn w:val="Normal"/>
    <w:next w:val="Normal"/>
    <w:rPr>
      <w:sz w:val="24"/>
      <w:b/>
      <w:i/>
    </w:rPr>
    <w:pPr>
      <w:spacing w:before="240" w:beforeAutospacing="0" w:after="60" w:afterAutospacing="0"/>
      <w:keepNext/>
      <w:outlineLvl w:val="1"/>
    </w:pPr>
  </w:style>
  <w:style w:type="paragraph" w:styleId="Heading3">
    <w:name w:val="Heading 3"/>
    <w:basedOn w:val="Normal"/>
    <w:next w:val="Normal"/>
    <w:rPr>
      <w:b/>
    </w:rPr>
    <w:pPr>
      <w:spacing w:before="240" w:beforeAutospacing="0" w:after="60" w:afterAutospacing="0"/>
      <w:keepNext/>
      <w:outlineLvl w:val="2"/>
    </w:pPr>
  </w:style>
</w:styles>
</file>

<file path=word/_rels/document.xml.rels><?xml version="1.0" encoding="UTF-8" standalone="yes"?><Relationships xmlns="http://schemas.openxmlformats.org/package/2006/relationships"><Relationship Id="rId0" Type="http://schemas.openxmlformats.org/officeDocument/2006/relationships/settings" Target="settings.xml"/><Relationship Id="rId1" Type="http://schemas.openxmlformats.org/officeDocument/2006/relationships/styles" Target="styles.xm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Atlantis Word Processor</Application>
  <!-- awp:appVersion=2.0.4.0 -->
  <!-- awp:caretPosPar=7 --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 Atlantis Word Processor Team</dc:creator>
  <dcterms:created xsi:type="dcterms:W3CDTF">2016-12-24T13:38:35Z</dcterms:created>
  <dcterms:modified xsi:type="dcterms:W3CDTF">2016-12-24T13:54:29Z</dcterms:modified>
  <dc:title>Welsh-English Glossary</dc:title>
</cp:coreProperties>
</file>